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BB" w:rsidRPr="00803A23" w:rsidRDefault="00AD71BB" w:rsidP="00AD71BB">
      <w:pPr>
        <w:spacing w:after="0" w:line="360" w:lineRule="auto"/>
        <w:jc w:val="both"/>
        <w:rPr>
          <w:rFonts w:ascii="Palatino Linotype" w:hAnsi="Palatino Linotype" w:cs="Arial"/>
          <w:b/>
          <w:color w:val="000000" w:themeColor="text1"/>
          <w:sz w:val="24"/>
          <w:szCs w:val="24"/>
        </w:rPr>
      </w:pPr>
      <w:r w:rsidRPr="00803A23">
        <w:rPr>
          <w:rFonts w:ascii="Palatino Linotype" w:hAnsi="Palatino Linotype" w:cs="Arial"/>
          <w:b/>
          <w:color w:val="000000" w:themeColor="text1"/>
          <w:sz w:val="24"/>
          <w:szCs w:val="24"/>
        </w:rPr>
        <w:t xml:space="preserve">VOTO PARTICULAR DEL COMISIONADO JOSÉ GUADALUPE LUNA HERNÁNDEZ EN LA RESOLUCIÓN DEL RECURSO DE REVISIÓN </w:t>
      </w:r>
      <w:r w:rsidR="00D45F2C" w:rsidRPr="00803A23">
        <w:rPr>
          <w:rFonts w:ascii="Palatino Linotype" w:hAnsi="Palatino Linotype" w:cs="Arial"/>
          <w:b/>
          <w:color w:val="000000" w:themeColor="text1"/>
          <w:sz w:val="24"/>
          <w:szCs w:val="24"/>
        </w:rPr>
        <w:t>02721/INFOEM/IP/RR/2018</w:t>
      </w:r>
      <w:r w:rsidRPr="00803A23">
        <w:rPr>
          <w:rFonts w:ascii="Palatino Linotype" w:hAnsi="Palatino Linotype" w:cs="Arial"/>
          <w:b/>
          <w:color w:val="000000" w:themeColor="text1"/>
          <w:sz w:val="24"/>
          <w:szCs w:val="24"/>
        </w:rPr>
        <w:t>.</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AD71BB">
      <w:pPr>
        <w:spacing w:after="0" w:line="360" w:lineRule="auto"/>
        <w:jc w:val="both"/>
        <w:rPr>
          <w:rFonts w:ascii="Palatino Linotype" w:hAnsi="Palatino Linotype" w:cs="Arial"/>
          <w:b/>
          <w:color w:val="000000" w:themeColor="text1"/>
          <w:sz w:val="24"/>
          <w:szCs w:val="24"/>
        </w:rPr>
      </w:pPr>
      <w:r w:rsidRPr="00803A23">
        <w:rPr>
          <w:rFonts w:ascii="Palatino Linotype" w:hAnsi="Palatino Linotype" w:cs="Arial"/>
          <w:b/>
          <w:color w:val="000000" w:themeColor="text1"/>
          <w:sz w:val="24"/>
          <w:szCs w:val="24"/>
        </w:rPr>
        <w:t>Líneas argumentativas</w:t>
      </w:r>
    </w:p>
    <w:p w:rsidR="00AD71BB" w:rsidRPr="00803A23" w:rsidRDefault="00AD71BB" w:rsidP="00AD71BB">
      <w:pPr>
        <w:spacing w:after="0" w:line="360" w:lineRule="auto"/>
        <w:jc w:val="both"/>
        <w:rPr>
          <w:rFonts w:ascii="Palatino Linotype" w:hAnsi="Palatino Linotype" w:cs="Arial"/>
          <w:b/>
          <w:color w:val="000000" w:themeColor="text1"/>
          <w:sz w:val="24"/>
          <w:szCs w:val="24"/>
        </w:rPr>
      </w:pPr>
    </w:p>
    <w:p w:rsidR="00AD71BB" w:rsidRPr="00803A23" w:rsidRDefault="00AD71BB" w:rsidP="00AD71BB">
      <w:pPr>
        <w:spacing w:after="0" w:line="360" w:lineRule="auto"/>
        <w:jc w:val="both"/>
        <w:rPr>
          <w:rFonts w:ascii="Palatino Linotype" w:hAnsi="Palatino Linotype" w:cs="Arial"/>
          <w:sz w:val="24"/>
          <w:szCs w:val="24"/>
        </w:rPr>
      </w:pPr>
      <w:r w:rsidRPr="00803A23">
        <w:rPr>
          <w:rFonts w:ascii="Palatino Linotype" w:hAnsi="Palatino Linotype" w:cs="Arial"/>
          <w:sz w:val="24"/>
          <w:szCs w:val="24"/>
        </w:rPr>
        <w:t xml:space="preserve">Las obligaciones que se derivan del tercer párrafo del artículo primero de la Constitución Federal, aplicables en materia de acceso a la información pública. </w:t>
      </w:r>
    </w:p>
    <w:p w:rsidR="00AD71BB" w:rsidRPr="00803A23" w:rsidRDefault="00AD71BB" w:rsidP="00AD71BB">
      <w:pPr>
        <w:spacing w:after="0" w:line="360" w:lineRule="auto"/>
        <w:jc w:val="both"/>
        <w:rPr>
          <w:rFonts w:ascii="Palatino Linotype" w:hAnsi="Palatino Linotype" w:cs="Arial"/>
          <w:b/>
          <w:color w:val="000000" w:themeColor="text1"/>
          <w:sz w:val="24"/>
          <w:szCs w:val="24"/>
        </w:rPr>
      </w:pPr>
    </w:p>
    <w:p w:rsidR="00AD71BB" w:rsidRPr="00803A23" w:rsidRDefault="00AD71BB" w:rsidP="00AD71BB">
      <w:pPr>
        <w:spacing w:after="0" w:line="360" w:lineRule="auto"/>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La garantía primaria, en la que se constituye la solicitud de acceso a la información pública, impone a la autoridad la obligación de atender la solicitud en los términos requeridos.</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AD71BB">
      <w:pPr>
        <w:spacing w:after="0" w:line="360" w:lineRule="auto"/>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El diseño del recurso de revisión como una garantía secundaria, desahogada en sede de un órgano constitucionalmente autónomo, cuya fuerza en sus resoluciones es definitiva. </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AD71BB">
      <w:pPr>
        <w:spacing w:after="0" w:line="360" w:lineRule="auto"/>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El régimen de responsabilidades administrativas como la consecuencia individual por el incumplimiento de la Ley de Transparencia y Acceso a la Información Pública del Estado de México y Municipios. </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AD71BB">
      <w:pPr>
        <w:spacing w:after="0" w:line="360" w:lineRule="auto"/>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lastRenderedPageBreak/>
        <w:t xml:space="preserve">El acceso a la información sin costo como dimensión colectiva de responsabilidades y como medida de reparación. </w:t>
      </w:r>
    </w:p>
    <w:p w:rsidR="00AD71BB" w:rsidRPr="00803A23" w:rsidRDefault="00AD71BB" w:rsidP="00AD71BB">
      <w:pPr>
        <w:spacing w:after="0" w:line="360" w:lineRule="auto"/>
        <w:jc w:val="both"/>
        <w:rPr>
          <w:rFonts w:ascii="Palatino Linotype" w:hAnsi="Palatino Linotype" w:cs="Arial"/>
          <w:sz w:val="24"/>
          <w:szCs w:val="24"/>
        </w:rPr>
      </w:pPr>
    </w:p>
    <w:p w:rsidR="00AD71BB" w:rsidRPr="00803A23" w:rsidRDefault="00AD71BB" w:rsidP="00AD71BB">
      <w:pPr>
        <w:spacing w:after="0" w:line="360" w:lineRule="auto"/>
        <w:jc w:val="both"/>
        <w:rPr>
          <w:rFonts w:ascii="Palatino Linotype" w:hAnsi="Palatino Linotype" w:cs="Arial"/>
          <w:b/>
          <w:color w:val="000000" w:themeColor="text1"/>
          <w:sz w:val="24"/>
          <w:szCs w:val="24"/>
        </w:rPr>
      </w:pPr>
      <w:r w:rsidRPr="00803A23">
        <w:rPr>
          <w:rFonts w:ascii="Palatino Linotype" w:hAnsi="Palatino Linotype" w:cs="Arial"/>
          <w:sz w:val="24"/>
          <w:szCs w:val="24"/>
        </w:rPr>
        <w:t xml:space="preserve">La aplicación del artículo 234 </w:t>
      </w:r>
      <w:r w:rsidRPr="00803A23">
        <w:rPr>
          <w:rFonts w:ascii="Palatino Linotype" w:hAnsi="Palatino Linotype" w:cs="Arial"/>
          <w:color w:val="000000" w:themeColor="text1"/>
          <w:sz w:val="24"/>
          <w:szCs w:val="24"/>
        </w:rPr>
        <w:t xml:space="preserve">de la Ley de Transparencia y Acceso a la Información Pública del Estado de México y Municipios es un claro incentivo con dos dimensiones para fomentar la adecuada atención de las solicitudes de acceso a la información y para promover un estándar más alto en la protección del derecho. </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340E67" w:rsidRPr="00803A23" w:rsidRDefault="00340E67" w:rsidP="00AD71BB">
      <w:pPr>
        <w:spacing w:after="0" w:line="360" w:lineRule="auto"/>
        <w:jc w:val="both"/>
        <w:rPr>
          <w:rFonts w:ascii="Palatino Linotype" w:hAnsi="Palatino Linotype" w:cs="Arial"/>
          <w:color w:val="000000" w:themeColor="text1"/>
          <w:sz w:val="24"/>
          <w:szCs w:val="24"/>
        </w:rPr>
      </w:pPr>
    </w:p>
    <w:p w:rsidR="00C66870" w:rsidRPr="00803A23" w:rsidRDefault="00C66870" w:rsidP="00AD71BB">
      <w:pPr>
        <w:spacing w:after="0" w:line="360" w:lineRule="auto"/>
        <w:jc w:val="both"/>
        <w:rPr>
          <w:rFonts w:ascii="Palatino Linotype" w:hAnsi="Palatino Linotype" w:cs="Arial"/>
          <w:color w:val="000000" w:themeColor="text1"/>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AD71BB" w:rsidRPr="00803A23" w:rsidRDefault="00AD71BB" w:rsidP="00C66870">
          <w:pPr>
            <w:spacing w:after="0" w:line="360" w:lineRule="auto"/>
            <w:jc w:val="center"/>
            <w:rPr>
              <w:rFonts w:ascii="Palatino Linotype" w:hAnsi="Palatino Linotype" w:cs="Arial"/>
              <w:b/>
              <w:color w:val="000000" w:themeColor="text1"/>
              <w:sz w:val="24"/>
              <w:szCs w:val="24"/>
            </w:rPr>
          </w:pPr>
          <w:r w:rsidRPr="00803A23">
            <w:rPr>
              <w:rFonts w:ascii="Palatino Linotype" w:hAnsi="Palatino Linotype" w:cs="Arial"/>
              <w:b/>
              <w:color w:val="000000" w:themeColor="text1"/>
              <w:sz w:val="24"/>
              <w:szCs w:val="24"/>
            </w:rPr>
            <w:t>Índice.</w:t>
          </w:r>
        </w:p>
        <w:p w:rsidR="00C66870" w:rsidRPr="00803A23" w:rsidRDefault="00AD71BB">
          <w:pPr>
            <w:pStyle w:val="TDC2"/>
            <w:tabs>
              <w:tab w:val="left" w:pos="660"/>
              <w:tab w:val="right" w:leader="dot" w:pos="8828"/>
            </w:tabs>
            <w:rPr>
              <w:rFonts w:ascii="Palatino Linotype" w:hAnsi="Palatino Linotype"/>
              <w:noProof/>
              <w:sz w:val="24"/>
              <w:szCs w:val="24"/>
            </w:rPr>
          </w:pPr>
          <w:r w:rsidRPr="00803A23">
            <w:rPr>
              <w:rFonts w:ascii="Palatino Linotype" w:hAnsi="Palatino Linotype" w:cs="Arial"/>
              <w:sz w:val="24"/>
              <w:szCs w:val="24"/>
            </w:rPr>
            <w:fldChar w:fldCharType="begin"/>
          </w:r>
          <w:r w:rsidRPr="00803A23">
            <w:rPr>
              <w:rFonts w:ascii="Palatino Linotype" w:hAnsi="Palatino Linotype" w:cs="Arial"/>
              <w:sz w:val="24"/>
              <w:szCs w:val="24"/>
            </w:rPr>
            <w:instrText xml:space="preserve"> TOC \o "1-3" \h \z \u </w:instrText>
          </w:r>
          <w:r w:rsidRPr="00803A23">
            <w:rPr>
              <w:rFonts w:ascii="Palatino Linotype" w:hAnsi="Palatino Linotype" w:cs="Arial"/>
              <w:sz w:val="24"/>
              <w:szCs w:val="24"/>
            </w:rPr>
            <w:fldChar w:fldCharType="separate"/>
          </w:r>
          <w:hyperlink w:anchor="_Toc525568962" w:history="1">
            <w:r w:rsidR="00C66870" w:rsidRPr="00803A23">
              <w:rPr>
                <w:rStyle w:val="Hipervnculo"/>
                <w:rFonts w:ascii="Palatino Linotype" w:eastAsiaTheme="majorEastAsia" w:hAnsi="Palatino Linotype" w:cs="Arial"/>
                <w:b/>
                <w:iCs/>
                <w:noProof/>
                <w:sz w:val="24"/>
                <w:szCs w:val="24"/>
              </w:rPr>
              <w:t>I.</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Consideraciones generales.</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_Toc525568962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3</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3" w:history="1">
            <w:r w:rsidR="00C66870" w:rsidRPr="00803A23">
              <w:rPr>
                <w:rStyle w:val="Hipervnculo"/>
                <w:rFonts w:ascii="Palatino Linotype" w:eastAsiaTheme="majorEastAsia" w:hAnsi="Palatino Linotype" w:cs="Arial"/>
                <w:b/>
                <w:iCs/>
                <w:noProof/>
                <w:sz w:val="24"/>
                <w:szCs w:val="24"/>
              </w:rPr>
              <w:t>II.</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Los antecedentes del caso.</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_Toc525568963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3</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4" w:history="1">
            <w:r w:rsidR="00C66870" w:rsidRPr="00803A23">
              <w:rPr>
                <w:rStyle w:val="Hipervnculo"/>
                <w:rFonts w:ascii="Palatino Linotype" w:eastAsiaTheme="majorEastAsia" w:hAnsi="Palatino Linotype" w:cs="Arial"/>
                <w:b/>
                <w:iCs/>
                <w:noProof/>
                <w:sz w:val="24"/>
                <w:szCs w:val="24"/>
              </w:rPr>
              <w:t>III.</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El derecho de acceso a la información pública.</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_Toc525568964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6</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5" w:history="1">
            <w:r w:rsidR="00C66870" w:rsidRPr="00803A23">
              <w:rPr>
                <w:rStyle w:val="Hipervnculo"/>
                <w:rFonts w:ascii="Palatino Linotype" w:eastAsiaTheme="majorEastAsia" w:hAnsi="Palatino Linotype" w:cs="Arial"/>
                <w:b/>
                <w:iCs/>
                <w:noProof/>
                <w:sz w:val="24"/>
                <w:szCs w:val="24"/>
              </w:rPr>
              <w:t>IV.</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Las garantías primarias del derecho de acceso a la información pública.</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_Toc525568965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7</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6" w:history="1">
            <w:r w:rsidR="00C66870" w:rsidRPr="00803A23">
              <w:rPr>
                <w:rStyle w:val="Hipervnculo"/>
                <w:rFonts w:ascii="Palatino Linotype" w:eastAsiaTheme="majorEastAsia" w:hAnsi="Palatino Linotype" w:cs="Arial"/>
                <w:b/>
                <w:iCs/>
                <w:noProof/>
                <w:sz w:val="24"/>
                <w:szCs w:val="24"/>
              </w:rPr>
              <w:t>V.</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La garantía secundaria del derecho de acceso a la información pública.</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_Toc525568966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9</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7" w:history="1">
            <w:r w:rsidR="00C66870" w:rsidRPr="00803A23">
              <w:rPr>
                <w:rStyle w:val="Hipervnculo"/>
                <w:rFonts w:ascii="Palatino Linotype" w:eastAsiaTheme="majorEastAsia" w:hAnsi="Palatino Linotype" w:cs="Arial"/>
                <w:b/>
                <w:iCs/>
                <w:noProof/>
                <w:sz w:val="24"/>
                <w:szCs w:val="24"/>
              </w:rPr>
              <w:t>VI.</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Consecuencias de la violación al derecho humano.</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_Toc525568967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11</w:t>
            </w:r>
            <w:r w:rsidR="00C66870" w:rsidRPr="00803A23">
              <w:rPr>
                <w:rFonts w:ascii="Palatino Linotype" w:hAnsi="Palatino Linotype"/>
                <w:noProof/>
                <w:webHidden/>
                <w:sz w:val="24"/>
                <w:szCs w:val="24"/>
              </w:rPr>
              <w:fldChar w:fldCharType="end"/>
            </w:r>
          </w:hyperlink>
        </w:p>
        <w:p w:rsidR="00C66870" w:rsidRPr="00803A23" w:rsidRDefault="00401DBB">
          <w:pPr>
            <w:pStyle w:val="TDC2"/>
            <w:tabs>
              <w:tab w:val="left" w:pos="880"/>
              <w:tab w:val="right" w:leader="dot" w:pos="8828"/>
            </w:tabs>
            <w:rPr>
              <w:rFonts w:ascii="Palatino Linotype" w:hAnsi="Palatino Linotype"/>
              <w:noProof/>
              <w:sz w:val="24"/>
              <w:szCs w:val="24"/>
            </w:rPr>
          </w:pPr>
          <w:hyperlink w:anchor="_Toc525568968" w:history="1">
            <w:r w:rsidR="00C66870" w:rsidRPr="00803A23">
              <w:rPr>
                <w:rStyle w:val="Hipervnculo"/>
                <w:rFonts w:ascii="Palatino Linotype" w:eastAsiaTheme="majorEastAsia" w:hAnsi="Palatino Linotype" w:cs="Arial"/>
                <w:b/>
                <w:iCs/>
                <w:noProof/>
                <w:sz w:val="24"/>
                <w:szCs w:val="24"/>
              </w:rPr>
              <w:t>VII.</w:t>
            </w:r>
            <w:r w:rsidR="00C66870" w:rsidRPr="00803A23">
              <w:rPr>
                <w:rFonts w:ascii="Palatino Linotype" w:hAnsi="Palatino Linotype"/>
                <w:noProof/>
                <w:sz w:val="24"/>
                <w:szCs w:val="24"/>
              </w:rPr>
              <w:tab/>
            </w:r>
            <w:r w:rsidR="00C66870" w:rsidRPr="00803A23">
              <w:rPr>
                <w:rStyle w:val="Hipervnculo"/>
                <w:rFonts w:ascii="Palatino Linotype" w:eastAsiaTheme="majorEastAsia" w:hAnsi="Palatino Linotype" w:cs="Arial"/>
                <w:b/>
                <w:iCs/>
                <w:noProof/>
                <w:sz w:val="24"/>
                <w:szCs w:val="24"/>
              </w:rPr>
              <w:t>Conclusiones.</w:t>
            </w:r>
            <w:r w:rsidR="00C66870" w:rsidRPr="00803A23">
              <w:rPr>
                <w:rFonts w:ascii="Palatino Linotype" w:hAnsi="Palatino Linotype"/>
                <w:noProof/>
                <w:webHidden/>
                <w:sz w:val="24"/>
                <w:szCs w:val="24"/>
              </w:rPr>
              <w:tab/>
            </w:r>
            <w:r w:rsidR="00C66870" w:rsidRPr="00803A23">
              <w:rPr>
                <w:rFonts w:ascii="Palatino Linotype" w:hAnsi="Palatino Linotype"/>
                <w:noProof/>
                <w:webHidden/>
                <w:sz w:val="24"/>
                <w:szCs w:val="24"/>
              </w:rPr>
              <w:fldChar w:fldCharType="begin"/>
            </w:r>
            <w:r w:rsidR="00C66870" w:rsidRPr="00803A23">
              <w:rPr>
                <w:rFonts w:ascii="Palatino Linotype" w:hAnsi="Palatino Linotype"/>
                <w:noProof/>
                <w:webHidden/>
                <w:sz w:val="24"/>
                <w:szCs w:val="24"/>
              </w:rPr>
              <w:instrText xml:space="preserve"> PAGEREF _Toc525568968 \h </w:instrText>
            </w:r>
            <w:r w:rsidR="00C66870" w:rsidRPr="00803A23">
              <w:rPr>
                <w:rFonts w:ascii="Palatino Linotype" w:hAnsi="Palatino Linotype"/>
                <w:noProof/>
                <w:webHidden/>
                <w:sz w:val="24"/>
                <w:szCs w:val="24"/>
              </w:rPr>
            </w:r>
            <w:r w:rsidR="00C66870" w:rsidRPr="00803A23">
              <w:rPr>
                <w:rFonts w:ascii="Palatino Linotype" w:hAnsi="Palatino Linotype"/>
                <w:noProof/>
                <w:webHidden/>
                <w:sz w:val="24"/>
                <w:szCs w:val="24"/>
              </w:rPr>
              <w:fldChar w:fldCharType="separate"/>
            </w:r>
            <w:r w:rsidR="00803A23">
              <w:rPr>
                <w:rFonts w:ascii="Palatino Linotype" w:hAnsi="Palatino Linotype"/>
                <w:noProof/>
                <w:webHidden/>
                <w:sz w:val="24"/>
                <w:szCs w:val="24"/>
              </w:rPr>
              <w:t>15</w:t>
            </w:r>
            <w:r w:rsidR="00C66870" w:rsidRPr="00803A23">
              <w:rPr>
                <w:rFonts w:ascii="Palatino Linotype" w:hAnsi="Palatino Linotype"/>
                <w:noProof/>
                <w:webHidden/>
                <w:sz w:val="24"/>
                <w:szCs w:val="24"/>
              </w:rPr>
              <w:fldChar w:fldCharType="end"/>
            </w:r>
          </w:hyperlink>
        </w:p>
        <w:p w:rsidR="00AD71BB" w:rsidRPr="00803A23" w:rsidRDefault="00AD71BB" w:rsidP="00AD71BB">
          <w:pPr>
            <w:rPr>
              <w:rFonts w:ascii="Palatino Linotype" w:hAnsi="Palatino Linotype" w:cs="Arial"/>
              <w:sz w:val="24"/>
              <w:szCs w:val="24"/>
            </w:rPr>
          </w:pPr>
          <w:r w:rsidRPr="00803A23">
            <w:rPr>
              <w:rFonts w:ascii="Palatino Linotype" w:hAnsi="Palatino Linotype" w:cs="Arial"/>
              <w:b/>
              <w:bCs/>
              <w:sz w:val="24"/>
              <w:szCs w:val="24"/>
              <w:lang w:val="es-ES"/>
            </w:rPr>
            <w:fldChar w:fldCharType="end"/>
          </w:r>
        </w:p>
      </w:sdtContent>
    </w:sdt>
    <w:p w:rsidR="00C66870" w:rsidRPr="00803A23" w:rsidRDefault="00C66870" w:rsidP="00C66870"/>
    <w:p w:rsidR="00C66870" w:rsidRPr="00803A23" w:rsidRDefault="00C66870" w:rsidP="00C66870"/>
    <w:p w:rsidR="00C66870" w:rsidRPr="00803A23" w:rsidRDefault="00C66870" w:rsidP="00C66870"/>
    <w:p w:rsidR="00C66870" w:rsidRPr="00803A23" w:rsidRDefault="00C66870" w:rsidP="00C66870"/>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0" w:name="_Toc525568962"/>
      <w:r w:rsidRPr="00803A23">
        <w:rPr>
          <w:rFonts w:ascii="Palatino Linotype" w:eastAsiaTheme="majorEastAsia" w:hAnsi="Palatino Linotype" w:cs="Arial"/>
          <w:b/>
          <w:iCs/>
          <w:color w:val="000000" w:themeColor="text1"/>
          <w:sz w:val="24"/>
          <w:szCs w:val="24"/>
        </w:rPr>
        <w:lastRenderedPageBreak/>
        <w:t>Consideraciones generales.</w:t>
      </w:r>
      <w:bookmarkEnd w:id="0"/>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340E67">
      <w:pPr>
        <w:numPr>
          <w:ilvl w:val="0"/>
          <w:numId w:val="1"/>
        </w:numPr>
        <w:spacing w:after="0" w:line="360" w:lineRule="auto"/>
        <w:ind w:left="284" w:hanging="284"/>
        <w:contextualSpacing/>
        <w:jc w:val="both"/>
        <w:rPr>
          <w:rFonts w:ascii="Palatino Linotype" w:hAnsi="Palatino Linotype" w:cs="Arial"/>
          <w:color w:val="000000" w:themeColor="text1"/>
          <w:sz w:val="24"/>
          <w:szCs w:val="24"/>
        </w:rPr>
      </w:pPr>
      <w:r w:rsidRPr="00803A23">
        <w:rPr>
          <w:rFonts w:ascii="Palatino Linotype" w:eastAsia="Times New Roman" w:hAnsi="Palatino Linotype" w:cs="Arial"/>
          <w:color w:val="000000" w:themeColor="text1"/>
          <w:sz w:val="24"/>
          <w:szCs w:val="24"/>
          <w:lang w:val="es-ES_tradnl"/>
        </w:rPr>
        <w:t xml:space="preserve">He concurrido con mi voto particular de la presente resolución emitida </w:t>
      </w:r>
      <w:r w:rsidRPr="00803A23">
        <w:rPr>
          <w:rFonts w:ascii="Palatino Linotype" w:hAnsi="Palatino Linotype" w:cs="Arial"/>
          <w:color w:val="000000" w:themeColor="text1"/>
          <w:sz w:val="24"/>
          <w:szCs w:val="24"/>
        </w:rPr>
        <w:t>por el Pleno del Instituto de Transparencia, Acceso a la Información Pública y Protección de Datos Personales del Estado de México y Municipios,</w:t>
      </w:r>
      <w:r w:rsidR="00D20AA3" w:rsidRPr="00803A23">
        <w:rPr>
          <w:rFonts w:ascii="Palatino Linotype" w:hAnsi="Palatino Linotype" w:cs="Arial"/>
          <w:color w:val="000000" w:themeColor="text1"/>
          <w:sz w:val="24"/>
          <w:szCs w:val="24"/>
        </w:rPr>
        <w:t xml:space="preserve"> en la</w:t>
      </w:r>
      <w:r w:rsidRPr="00803A23">
        <w:rPr>
          <w:rFonts w:ascii="Palatino Linotype" w:hAnsi="Palatino Linotype" w:cs="Arial"/>
          <w:color w:val="000000" w:themeColor="text1"/>
          <w:sz w:val="24"/>
          <w:szCs w:val="24"/>
        </w:rPr>
        <w:t xml:space="preserve"> </w:t>
      </w:r>
      <w:r w:rsidR="00D20AA3" w:rsidRPr="00803A23">
        <w:rPr>
          <w:rFonts w:ascii="Palatino Linotype" w:hAnsi="Palatino Linotype" w:cs="Arial"/>
          <w:sz w:val="24"/>
          <w:szCs w:val="24"/>
        </w:rPr>
        <w:t>Trigésimo</w:t>
      </w:r>
      <w:r w:rsidR="00D20AA3" w:rsidRPr="00803A23">
        <w:rPr>
          <w:rFonts w:ascii="Palatino Linotype" w:hAnsi="Palatino Linotype" w:cs="Arial"/>
          <w:color w:val="000000" w:themeColor="text1"/>
          <w:sz w:val="24"/>
          <w:szCs w:val="24"/>
        </w:rPr>
        <w:t xml:space="preserve"> cuarta sesión ordinaria celebrada el día diecinueve (19) de septiembre de dos mil dieciocho</w:t>
      </w:r>
      <w:r w:rsidRPr="00803A23">
        <w:rPr>
          <w:rFonts w:ascii="Palatino Linotype" w:hAnsi="Palatino Linotype" w:cs="Arial"/>
          <w:color w:val="000000" w:themeColor="text1"/>
          <w:sz w:val="24"/>
          <w:szCs w:val="24"/>
        </w:rPr>
        <w:t>, en el recurso de revisión promovido por</w:t>
      </w:r>
      <w:r w:rsidRPr="00803A23">
        <w:rPr>
          <w:rFonts w:ascii="Palatino Linotype" w:hAnsi="Palatino Linotype" w:cs="Arial"/>
          <w:b/>
          <w:color w:val="000000" w:themeColor="text1"/>
          <w:sz w:val="24"/>
          <w:szCs w:val="24"/>
        </w:rPr>
        <w:t xml:space="preserv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lang w:val="es-ES"/>
        </w:rPr>
        <w:t>,</w:t>
      </w:r>
      <w:r w:rsidRPr="00803A23">
        <w:rPr>
          <w:rFonts w:ascii="Palatino Linotype" w:hAnsi="Palatino Linotype" w:cs="Arial"/>
          <w:b/>
          <w:color w:val="000000" w:themeColor="text1"/>
          <w:sz w:val="24"/>
          <w:szCs w:val="24"/>
        </w:rPr>
        <w:t xml:space="preserve"> </w:t>
      </w:r>
      <w:r w:rsidRPr="00803A23">
        <w:rPr>
          <w:rFonts w:ascii="Palatino Linotype" w:hAnsi="Palatino Linotype" w:cs="Arial"/>
          <w:color w:val="000000" w:themeColor="text1"/>
          <w:sz w:val="24"/>
          <w:szCs w:val="24"/>
        </w:rPr>
        <w:t>en contra de la respuesta del</w:t>
      </w:r>
      <w:r w:rsidRPr="00803A23">
        <w:rPr>
          <w:rFonts w:ascii="Palatino Linotype" w:hAnsi="Palatino Linotype" w:cs="Arial"/>
          <w:b/>
          <w:sz w:val="24"/>
          <w:szCs w:val="24"/>
          <w:lang w:val="es-ES"/>
        </w:rPr>
        <w:t xml:space="preserve"> </w:t>
      </w:r>
      <w:r w:rsidR="00180ABB" w:rsidRPr="00803A23">
        <w:rPr>
          <w:rFonts w:ascii="Palatino Linotype" w:hAnsi="Palatino Linotype" w:cs="Arial"/>
          <w:b/>
          <w:sz w:val="24"/>
          <w:szCs w:val="24"/>
          <w:lang w:val="es-ES"/>
        </w:rPr>
        <w:t>Colegio de Educación Profesional Técnica</w:t>
      </w:r>
      <w:r w:rsidRPr="00803A23">
        <w:rPr>
          <w:rFonts w:ascii="Palatino Linotype" w:hAnsi="Palatino Linotype" w:cs="Arial"/>
          <w:color w:val="000000" w:themeColor="text1"/>
          <w:sz w:val="24"/>
          <w:szCs w:val="24"/>
        </w:rPr>
        <w:t>, procedimiento al que se le asignó el número de expediente ya señalado.</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9771BC">
      <w:pPr>
        <w:numPr>
          <w:ilvl w:val="0"/>
          <w:numId w:val="1"/>
        </w:numPr>
        <w:spacing w:after="0" w:line="360" w:lineRule="auto"/>
        <w:ind w:left="284" w:hanging="284"/>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La resolución</w:t>
      </w:r>
      <w:r w:rsidRPr="00803A23">
        <w:rPr>
          <w:rFonts w:ascii="Palatino Linotype" w:eastAsia="Times New Roman" w:hAnsi="Palatino Linotype" w:cs="Arial"/>
          <w:color w:val="000000" w:themeColor="text1"/>
          <w:sz w:val="24"/>
          <w:szCs w:val="24"/>
        </w:rPr>
        <w:t xml:space="preserve">, </w:t>
      </w:r>
      <w:r w:rsidR="00180ABB" w:rsidRPr="00803A23">
        <w:rPr>
          <w:rFonts w:ascii="Palatino Linotype" w:eastAsia="Times New Roman" w:hAnsi="Palatino Linotype" w:cs="Arial"/>
          <w:color w:val="000000" w:themeColor="text1"/>
          <w:sz w:val="24"/>
          <w:szCs w:val="24"/>
        </w:rPr>
        <w:t>determina revocar la respuesta emitida</w:t>
      </w:r>
      <w:r w:rsidR="00C66870" w:rsidRPr="00803A23">
        <w:rPr>
          <w:rFonts w:ascii="Palatino Linotype" w:eastAsia="Times New Roman" w:hAnsi="Palatino Linotype" w:cs="Arial"/>
          <w:color w:val="000000" w:themeColor="text1"/>
          <w:sz w:val="24"/>
          <w:szCs w:val="24"/>
        </w:rPr>
        <w:t>, y</w:t>
      </w:r>
      <w:r w:rsidR="00180ABB" w:rsidRPr="00803A23">
        <w:rPr>
          <w:rFonts w:ascii="Palatino Linotype" w:eastAsia="Times New Roman" w:hAnsi="Palatino Linotype" w:cs="Arial"/>
          <w:color w:val="000000" w:themeColor="text1"/>
          <w:sz w:val="24"/>
          <w:szCs w:val="24"/>
        </w:rPr>
        <w:t xml:space="preserve"> </w:t>
      </w:r>
      <w:r w:rsidRPr="00803A23">
        <w:rPr>
          <w:rFonts w:ascii="Palatino Linotype" w:eastAsia="Times New Roman" w:hAnsi="Palatino Linotype" w:cs="Arial"/>
          <w:color w:val="000000" w:themeColor="text1"/>
          <w:sz w:val="24"/>
          <w:szCs w:val="24"/>
        </w:rPr>
        <w:t>ordena la entrega de la información solicitada en copia certificada, previo pago de los derechos correspondientes y es precisamente sobre este último aspecto sobre el cual formulo el presente voto.</w:t>
      </w:r>
    </w:p>
    <w:p w:rsidR="00AD71BB" w:rsidRPr="00803A23" w:rsidRDefault="00AD71BB" w:rsidP="00AD71BB">
      <w:pPr>
        <w:spacing w:before="240" w:after="240" w:line="360" w:lineRule="auto"/>
        <w:contextualSpacing/>
        <w:jc w:val="both"/>
        <w:rPr>
          <w:rFonts w:ascii="Palatino Linotype" w:eastAsia="Times New Roman" w:hAnsi="Palatino Linotype" w:cs="Arial"/>
          <w:i/>
          <w:color w:val="000000" w:themeColor="text1"/>
          <w:sz w:val="24"/>
          <w:szCs w:val="24"/>
        </w:rPr>
      </w:pPr>
    </w:p>
    <w:p w:rsidR="00AD71BB" w:rsidRPr="00803A23" w:rsidRDefault="00AD71BB" w:rsidP="009771BC">
      <w:pPr>
        <w:numPr>
          <w:ilvl w:val="0"/>
          <w:numId w:val="1"/>
        </w:numPr>
        <w:spacing w:before="240" w:after="240" w:line="360" w:lineRule="auto"/>
        <w:ind w:left="284" w:hanging="284"/>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1" w:name="_Toc525568963"/>
      <w:r w:rsidRPr="00803A23">
        <w:rPr>
          <w:rFonts w:ascii="Palatino Linotype" w:eastAsiaTheme="majorEastAsia" w:hAnsi="Palatino Linotype" w:cs="Arial"/>
          <w:b/>
          <w:iCs/>
          <w:color w:val="000000" w:themeColor="text1"/>
          <w:sz w:val="24"/>
          <w:szCs w:val="24"/>
        </w:rPr>
        <w:t>Los antecedentes del caso.</w:t>
      </w:r>
      <w:bookmarkEnd w:id="1"/>
      <w:r w:rsidRPr="00803A23">
        <w:rPr>
          <w:rFonts w:ascii="Palatino Linotype" w:eastAsiaTheme="majorEastAsia" w:hAnsi="Palatino Linotype" w:cs="Arial"/>
          <w:b/>
          <w:iCs/>
          <w:color w:val="000000" w:themeColor="text1"/>
          <w:sz w:val="24"/>
          <w:szCs w:val="24"/>
        </w:rPr>
        <w:t xml:space="preserve"> </w:t>
      </w:r>
    </w:p>
    <w:p w:rsidR="00AD71BB" w:rsidRPr="00803A23" w:rsidRDefault="00AD71BB" w:rsidP="00AD71BB">
      <w:pPr>
        <w:spacing w:after="0" w:line="360" w:lineRule="auto"/>
        <w:jc w:val="both"/>
        <w:rPr>
          <w:rFonts w:ascii="Palatino Linotype" w:hAnsi="Palatino Linotype" w:cs="Arial"/>
          <w:color w:val="000000" w:themeColor="text1"/>
          <w:sz w:val="24"/>
          <w:szCs w:val="24"/>
        </w:rPr>
      </w:pPr>
    </w:p>
    <w:p w:rsidR="00AD71BB" w:rsidRPr="00803A23" w:rsidRDefault="00AD71BB" w:rsidP="007901A3">
      <w:pPr>
        <w:numPr>
          <w:ilvl w:val="0"/>
          <w:numId w:val="1"/>
        </w:numPr>
        <w:spacing w:before="240" w:after="240" w:line="360" w:lineRule="auto"/>
        <w:ind w:left="284" w:hanging="284"/>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El </w:t>
      </w:r>
      <w:r w:rsidR="00150314" w:rsidRPr="00803A23">
        <w:rPr>
          <w:rFonts w:ascii="Palatino Linotype" w:hAnsi="Palatino Linotype" w:cs="Arial"/>
          <w:color w:val="000000" w:themeColor="text1"/>
          <w:sz w:val="24"/>
          <w:szCs w:val="24"/>
        </w:rPr>
        <w:t>on</w:t>
      </w:r>
      <w:r w:rsidRPr="00803A23">
        <w:rPr>
          <w:rFonts w:ascii="Palatino Linotype" w:hAnsi="Palatino Linotype" w:cs="Arial"/>
          <w:color w:val="000000" w:themeColor="text1"/>
          <w:sz w:val="24"/>
          <w:szCs w:val="24"/>
        </w:rPr>
        <w:t>ce (1</w:t>
      </w:r>
      <w:r w:rsidR="00150314" w:rsidRPr="00803A23">
        <w:rPr>
          <w:rFonts w:ascii="Palatino Linotype" w:hAnsi="Palatino Linotype" w:cs="Arial"/>
          <w:color w:val="000000" w:themeColor="text1"/>
          <w:sz w:val="24"/>
          <w:szCs w:val="24"/>
        </w:rPr>
        <w:t>1</w:t>
      </w:r>
      <w:r w:rsidRPr="00803A23">
        <w:rPr>
          <w:rFonts w:ascii="Palatino Linotype" w:hAnsi="Palatino Linotype" w:cs="Arial"/>
          <w:color w:val="000000" w:themeColor="text1"/>
          <w:sz w:val="24"/>
          <w:szCs w:val="24"/>
        </w:rPr>
        <w:t xml:space="preserve">) de </w:t>
      </w:r>
      <w:r w:rsidR="00150314" w:rsidRPr="00803A23">
        <w:rPr>
          <w:rFonts w:ascii="Palatino Linotype" w:hAnsi="Palatino Linotype" w:cs="Arial"/>
          <w:color w:val="000000" w:themeColor="text1"/>
          <w:sz w:val="24"/>
          <w:szCs w:val="24"/>
        </w:rPr>
        <w:t>juli</w:t>
      </w:r>
      <w:r w:rsidR="007901A3" w:rsidRPr="00803A23">
        <w:rPr>
          <w:rFonts w:ascii="Palatino Linotype" w:hAnsi="Palatino Linotype" w:cs="Arial"/>
          <w:color w:val="000000" w:themeColor="text1"/>
          <w:sz w:val="24"/>
          <w:szCs w:val="24"/>
        </w:rPr>
        <w:t>o</w:t>
      </w:r>
      <w:r w:rsidR="00150314" w:rsidRPr="00803A23">
        <w:rPr>
          <w:rFonts w:ascii="Palatino Linotype" w:hAnsi="Palatino Linotype" w:cs="Arial"/>
          <w:color w:val="000000" w:themeColor="text1"/>
          <w:sz w:val="24"/>
          <w:szCs w:val="24"/>
        </w:rPr>
        <w:t xml:space="preserve"> de dos mil dieciocho</w:t>
      </w:r>
      <w:r w:rsidRPr="00803A23">
        <w:rPr>
          <w:rFonts w:ascii="Palatino Linotype" w:hAnsi="Palatino Linotype" w:cs="Arial"/>
          <w:color w:val="000000" w:themeColor="text1"/>
          <w:sz w:val="24"/>
          <w:szCs w:val="24"/>
        </w:rPr>
        <w:t xml:space="preserv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lang w:val="es-ES"/>
        </w:rPr>
        <w:t>,</w:t>
      </w:r>
      <w:r w:rsidRPr="00803A23">
        <w:rPr>
          <w:rFonts w:ascii="Palatino Linotype" w:hAnsi="Palatino Linotype" w:cs="Arial"/>
          <w:color w:val="000000" w:themeColor="text1"/>
          <w:sz w:val="24"/>
          <w:szCs w:val="24"/>
        </w:rPr>
        <w:t xml:space="preserve"> requirió al </w:t>
      </w:r>
      <w:r w:rsidR="00180ABB" w:rsidRPr="00803A23">
        <w:rPr>
          <w:rFonts w:ascii="Palatino Linotype" w:hAnsi="Palatino Linotype" w:cs="Arial"/>
          <w:b/>
          <w:sz w:val="24"/>
          <w:szCs w:val="24"/>
          <w:lang w:val="es-ES"/>
        </w:rPr>
        <w:t>Colegio de Educación Profesional Técnica</w:t>
      </w:r>
      <w:r w:rsidRPr="00803A23">
        <w:rPr>
          <w:rFonts w:ascii="Palatino Linotype" w:hAnsi="Palatino Linotype" w:cs="Arial"/>
          <w:color w:val="000000" w:themeColor="text1"/>
          <w:sz w:val="24"/>
          <w:szCs w:val="24"/>
        </w:rPr>
        <w:t xml:space="preserve"> </w:t>
      </w:r>
      <w:r w:rsidR="00963AC0" w:rsidRPr="00803A23">
        <w:rPr>
          <w:rFonts w:ascii="Palatino Linotype" w:hAnsi="Palatino Linotype" w:cs="Arial"/>
          <w:color w:val="000000" w:themeColor="text1"/>
          <w:sz w:val="24"/>
          <w:szCs w:val="24"/>
        </w:rPr>
        <w:t>lo siguiente:</w:t>
      </w:r>
    </w:p>
    <w:p w:rsidR="00963AC0" w:rsidRPr="00803A23" w:rsidRDefault="00963AC0" w:rsidP="00963AC0">
      <w:pPr>
        <w:spacing w:before="240" w:after="240" w:line="360" w:lineRule="auto"/>
        <w:ind w:left="709" w:right="616"/>
        <w:contextualSpacing/>
        <w:jc w:val="both"/>
        <w:rPr>
          <w:rFonts w:ascii="Palatino Linotype" w:hAnsi="Palatino Linotype" w:cs="Arial"/>
          <w:i/>
          <w:color w:val="000000" w:themeColor="text1"/>
          <w:sz w:val="24"/>
          <w:szCs w:val="24"/>
        </w:rPr>
      </w:pPr>
      <w:r w:rsidRPr="00803A23">
        <w:rPr>
          <w:rFonts w:ascii="Palatino Linotype" w:hAnsi="Palatino Linotype" w:cs="Arial"/>
          <w:i/>
          <w:color w:val="000000" w:themeColor="text1"/>
          <w:sz w:val="24"/>
          <w:szCs w:val="24"/>
        </w:rPr>
        <w:lastRenderedPageBreak/>
        <w:t>“Se solicita copia certificada del convenio denominado CONVENIO MARCO DE COLABORACIÓN EN MATERIA DE PRÁCTICAS PROFESIONALES, DONACIONES, BOLSA DE TRABAJO; QUE CELEBRAN POR UNA PARTE, EL COLEGIO DE EDUCACIÓN PROFESIONAL TÉCNICA DEL ESTADO DE MÉXICO, REPRESENTADO POR EL LIC. EDGAR TELLO BACA, EN SU CARÁCTER DE DIRECTOR Y POR LA OTRA PARTE COATINGS ESPECIALES Y MULTIFUNCIONALES, S.A. DE C.V., RE</w:t>
      </w:r>
      <w:bookmarkStart w:id="2" w:name="_GoBack"/>
      <w:bookmarkEnd w:id="2"/>
      <w:r w:rsidRPr="00803A23">
        <w:rPr>
          <w:rFonts w:ascii="Palatino Linotype" w:hAnsi="Palatino Linotype" w:cs="Arial"/>
          <w:i/>
          <w:color w:val="000000" w:themeColor="text1"/>
          <w:sz w:val="24"/>
          <w:szCs w:val="24"/>
        </w:rPr>
        <w:t xml:space="preserve">PRESENTADO POR </w:t>
      </w:r>
      <w:r w:rsidR="00321452" w:rsidRPr="00321452">
        <w:rPr>
          <w:rFonts w:ascii="Palatino Linotype" w:hAnsi="Palatino Linotype" w:cs="Arial"/>
          <w:i/>
          <w:color w:val="000000" w:themeColor="text1"/>
          <w:sz w:val="24"/>
          <w:szCs w:val="24"/>
          <w:highlight w:val="black"/>
        </w:rPr>
        <w:t>--------------------------------------------------------------</w:t>
      </w:r>
      <w:r w:rsidRPr="00803A23">
        <w:rPr>
          <w:rFonts w:ascii="Palatino Linotype" w:hAnsi="Palatino Linotype" w:cs="Arial"/>
          <w:i/>
          <w:color w:val="000000" w:themeColor="text1"/>
          <w:sz w:val="24"/>
          <w:szCs w:val="24"/>
        </w:rPr>
        <w:t>EN SU CARÁCTER DE REPRESENTANTE LEGAL A QUIENES EN LO SUCESIVO SE LES DENOMINARÁ EL "CONALEP ESTADO DE MÉXICO" Y "LA EMPRESA" RESPECTIVAMENTE.”</w:t>
      </w:r>
    </w:p>
    <w:p w:rsidR="00AD71BB" w:rsidRPr="00803A23" w:rsidRDefault="00AD71BB" w:rsidP="00AD71BB">
      <w:pPr>
        <w:spacing w:before="240" w:after="240" w:line="360" w:lineRule="auto"/>
        <w:contextualSpacing/>
        <w:jc w:val="both"/>
        <w:rPr>
          <w:rFonts w:ascii="Palatino Linotype" w:hAnsi="Palatino Linotype" w:cs="Arial"/>
          <w:color w:val="000000" w:themeColor="text1"/>
          <w:sz w:val="24"/>
          <w:szCs w:val="24"/>
        </w:rPr>
      </w:pPr>
    </w:p>
    <w:p w:rsidR="00963AC0" w:rsidRPr="00803A23" w:rsidRDefault="00AD71BB" w:rsidP="001F4FBA">
      <w:pPr>
        <w:numPr>
          <w:ilvl w:val="0"/>
          <w:numId w:val="1"/>
        </w:numPr>
        <w:spacing w:before="240" w:after="0" w:line="360" w:lineRule="auto"/>
        <w:ind w:left="426"/>
        <w:contextualSpacing/>
        <w:jc w:val="both"/>
        <w:rPr>
          <w:rFonts w:ascii="Palatino Linotype" w:hAnsi="Palatino Linotype" w:cs="Arial"/>
          <w:i/>
          <w:color w:val="000000" w:themeColor="text1"/>
          <w:sz w:val="24"/>
          <w:szCs w:val="24"/>
        </w:rPr>
      </w:pPr>
      <w:r w:rsidRPr="00803A23">
        <w:rPr>
          <w:rFonts w:ascii="Palatino Linotype" w:hAnsi="Palatino Linotype" w:cs="Arial"/>
          <w:color w:val="000000" w:themeColor="text1"/>
          <w:sz w:val="24"/>
          <w:szCs w:val="24"/>
        </w:rPr>
        <w:t xml:space="preserve">Inconforme con lo anterior, </w:t>
      </w:r>
      <w:r w:rsidR="00963AC0" w:rsidRPr="00803A23">
        <w:rPr>
          <w:rFonts w:ascii="Palatino Linotype" w:hAnsi="Palatino Linotype" w:cs="Arial"/>
          <w:color w:val="000000" w:themeColor="text1"/>
          <w:sz w:val="24"/>
          <w:szCs w:val="24"/>
        </w:rPr>
        <w:t>e</w:t>
      </w:r>
      <w:r w:rsidRPr="00803A23">
        <w:rPr>
          <w:rFonts w:ascii="Palatino Linotype" w:hAnsi="Palatino Linotype" w:cs="Arial"/>
          <w:color w:val="000000" w:themeColor="text1"/>
          <w:sz w:val="24"/>
          <w:szCs w:val="24"/>
        </w:rPr>
        <w:t>l recurrente acudió ante este Órgano Garante señalando que</w:t>
      </w:r>
      <w:r w:rsidR="00963AC0" w:rsidRPr="00803A23">
        <w:rPr>
          <w:rFonts w:ascii="Palatino Linotype" w:hAnsi="Palatino Linotype" w:cs="Arial"/>
          <w:color w:val="000000" w:themeColor="text1"/>
          <w:sz w:val="24"/>
          <w:szCs w:val="24"/>
        </w:rPr>
        <w:t>:</w:t>
      </w:r>
      <w:r w:rsidRPr="00803A23">
        <w:rPr>
          <w:rFonts w:ascii="Palatino Linotype" w:hAnsi="Palatino Linotype" w:cs="Arial"/>
          <w:color w:val="000000" w:themeColor="text1"/>
          <w:sz w:val="24"/>
          <w:szCs w:val="24"/>
        </w:rPr>
        <w:t xml:space="preserve"> </w:t>
      </w:r>
      <w:r w:rsidR="00ED49AA" w:rsidRPr="00803A23">
        <w:rPr>
          <w:rFonts w:ascii="Palatino Linotype" w:hAnsi="Palatino Linotype" w:cs="Arial"/>
          <w:i/>
          <w:color w:val="000000" w:themeColor="text1"/>
          <w:sz w:val="24"/>
          <w:szCs w:val="24"/>
        </w:rPr>
        <w:t>“…</w:t>
      </w:r>
      <w:r w:rsidR="00963AC0" w:rsidRPr="00803A23">
        <w:rPr>
          <w:rFonts w:ascii="Palatino Linotype" w:hAnsi="Palatino Linotype" w:cs="Arial"/>
          <w:i/>
          <w:color w:val="000000" w:themeColor="text1"/>
          <w:sz w:val="24"/>
          <w:szCs w:val="24"/>
        </w:rPr>
        <w:t xml:space="preserve">se nota claramente que </w:t>
      </w:r>
      <w:proofErr w:type="spellStart"/>
      <w:r w:rsidR="00963AC0" w:rsidRPr="00803A23">
        <w:rPr>
          <w:rFonts w:ascii="Palatino Linotype" w:hAnsi="Palatino Linotype" w:cs="Arial"/>
          <w:i/>
          <w:color w:val="000000" w:themeColor="text1"/>
          <w:sz w:val="24"/>
          <w:szCs w:val="24"/>
        </w:rPr>
        <w:t>esta</w:t>
      </w:r>
      <w:proofErr w:type="spellEnd"/>
      <w:r w:rsidR="00963AC0" w:rsidRPr="00803A23">
        <w:rPr>
          <w:rFonts w:ascii="Palatino Linotype" w:hAnsi="Palatino Linotype" w:cs="Arial"/>
          <w:i/>
          <w:color w:val="000000" w:themeColor="text1"/>
          <w:sz w:val="24"/>
          <w:szCs w:val="24"/>
        </w:rPr>
        <w:t xml:space="preserve"> incompleto, en la foja 5 clausula DÉCIMA SEGUNDA en su renglón séptimo dice sic "...cualquier sindicato de trabajadores de "LA EMPRESA". Así mismo el... Y ya no hay foja 6 que continúe con la </w:t>
      </w:r>
      <w:proofErr w:type="spellStart"/>
      <w:r w:rsidR="00963AC0" w:rsidRPr="00803A23">
        <w:rPr>
          <w:rFonts w:ascii="Palatino Linotype" w:hAnsi="Palatino Linotype" w:cs="Arial"/>
          <w:i/>
          <w:color w:val="000000" w:themeColor="text1"/>
          <w:sz w:val="24"/>
          <w:szCs w:val="24"/>
        </w:rPr>
        <w:t>claúsula</w:t>
      </w:r>
      <w:proofErr w:type="spellEnd"/>
      <w:r w:rsidR="00963AC0" w:rsidRPr="00803A23">
        <w:rPr>
          <w:rFonts w:ascii="Palatino Linotype" w:hAnsi="Palatino Linotype" w:cs="Arial"/>
          <w:i/>
          <w:color w:val="000000" w:themeColor="text1"/>
          <w:sz w:val="24"/>
          <w:szCs w:val="24"/>
        </w:rPr>
        <w:t xml:space="preserve"> DÉCIMA SEGUNDA y la siguiente foja es la leyenda de las copias certificadas</w:t>
      </w:r>
      <w:r w:rsidR="00ED49AA" w:rsidRPr="00803A23">
        <w:rPr>
          <w:rFonts w:ascii="Palatino Linotype" w:hAnsi="Palatino Linotype" w:cs="Arial"/>
          <w:i/>
          <w:color w:val="000000" w:themeColor="text1"/>
          <w:sz w:val="24"/>
          <w:szCs w:val="24"/>
        </w:rPr>
        <w:t>”</w:t>
      </w:r>
      <w:r w:rsidR="00ED49AA" w:rsidRPr="00803A23">
        <w:rPr>
          <w:rFonts w:ascii="Palatino Linotype" w:hAnsi="Palatino Linotype" w:cs="Arial"/>
          <w:color w:val="000000" w:themeColor="text1"/>
          <w:sz w:val="24"/>
          <w:szCs w:val="24"/>
        </w:rPr>
        <w:t xml:space="preserve"> (sic)</w:t>
      </w:r>
      <w:r w:rsidR="00C66870" w:rsidRPr="00803A23">
        <w:rPr>
          <w:rFonts w:ascii="Palatino Linotype" w:hAnsi="Palatino Linotype" w:cs="Arial"/>
          <w:i/>
          <w:color w:val="000000" w:themeColor="text1"/>
          <w:sz w:val="24"/>
          <w:szCs w:val="24"/>
        </w:rPr>
        <w:t>.</w:t>
      </w:r>
      <w:r w:rsidR="00ED49AA" w:rsidRPr="00803A23">
        <w:rPr>
          <w:rFonts w:ascii="Palatino Linotype" w:hAnsi="Palatino Linotype" w:cs="Arial"/>
          <w:i/>
          <w:color w:val="000000" w:themeColor="text1"/>
          <w:sz w:val="24"/>
          <w:szCs w:val="24"/>
        </w:rPr>
        <w:t xml:space="preserve"> </w:t>
      </w:r>
      <w:r w:rsidR="00C66870" w:rsidRPr="00803A23">
        <w:rPr>
          <w:rFonts w:ascii="Palatino Linotype" w:hAnsi="Palatino Linotype" w:cs="Arial"/>
          <w:color w:val="000000" w:themeColor="text1"/>
          <w:sz w:val="24"/>
          <w:szCs w:val="24"/>
        </w:rPr>
        <w:t xml:space="preserve">Por lo que </w:t>
      </w:r>
      <w:r w:rsidR="00963AC0" w:rsidRPr="00803A23">
        <w:rPr>
          <w:rFonts w:ascii="Palatino Linotype" w:hAnsi="Palatino Linotype" w:cs="Arial"/>
          <w:color w:val="000000" w:themeColor="text1"/>
          <w:sz w:val="24"/>
          <w:szCs w:val="24"/>
        </w:rPr>
        <w:t xml:space="preserve">la ponencia </w:t>
      </w:r>
      <w:proofErr w:type="spellStart"/>
      <w:r w:rsidR="00963AC0" w:rsidRPr="00803A23">
        <w:rPr>
          <w:rFonts w:ascii="Palatino Linotype" w:hAnsi="Palatino Linotype" w:cs="Arial"/>
          <w:color w:val="000000" w:themeColor="text1"/>
          <w:sz w:val="24"/>
          <w:szCs w:val="24"/>
        </w:rPr>
        <w:t>resolutora</w:t>
      </w:r>
      <w:proofErr w:type="spellEnd"/>
      <w:r w:rsidR="00963AC0" w:rsidRPr="00803A23">
        <w:rPr>
          <w:rFonts w:ascii="Palatino Linotype" w:hAnsi="Palatino Linotype" w:cs="Arial"/>
          <w:color w:val="000000" w:themeColor="text1"/>
          <w:sz w:val="24"/>
          <w:szCs w:val="24"/>
        </w:rPr>
        <w:t xml:space="preserve"> determino que</w:t>
      </w:r>
      <w:r w:rsidR="00963AC0" w:rsidRPr="00803A23">
        <w:t xml:space="preserve"> </w:t>
      </w:r>
      <w:r w:rsidR="00963AC0" w:rsidRPr="00803A23">
        <w:rPr>
          <w:rFonts w:ascii="Palatino Linotype" w:hAnsi="Palatino Linotype" w:cs="Arial"/>
          <w:color w:val="000000" w:themeColor="text1"/>
          <w:sz w:val="24"/>
          <w:szCs w:val="24"/>
        </w:rPr>
        <w:t xml:space="preserve">se acreditaba que los motivos y razones de inconformidad hechos valer por el recurrente, resultaban fundados y procedentes, al hacer entrega incompleta de la información peticionada; sin embargo el sujeto obligado dentro del término de </w:t>
      </w:r>
      <w:r w:rsidR="00963AC0" w:rsidRPr="00803A23">
        <w:rPr>
          <w:rFonts w:ascii="Palatino Linotype" w:hAnsi="Palatino Linotype" w:cs="Arial"/>
          <w:color w:val="000000" w:themeColor="text1"/>
          <w:sz w:val="24"/>
          <w:szCs w:val="24"/>
        </w:rPr>
        <w:lastRenderedPageBreak/>
        <w:t>ley que le fue otorgado para rendir su informe justificado, remitió el archivo electrónico COATINGS CONSTATADO (completo).</w:t>
      </w:r>
      <w:proofErr w:type="spellStart"/>
      <w:r w:rsidR="00963AC0" w:rsidRPr="00803A23">
        <w:rPr>
          <w:rFonts w:ascii="Palatino Linotype" w:hAnsi="Palatino Linotype" w:cs="Arial"/>
          <w:color w:val="000000" w:themeColor="text1"/>
          <w:sz w:val="24"/>
          <w:szCs w:val="24"/>
        </w:rPr>
        <w:t>pdf</w:t>
      </w:r>
      <w:proofErr w:type="spellEnd"/>
      <w:r w:rsidR="00963AC0" w:rsidRPr="00803A23">
        <w:rPr>
          <w:rFonts w:ascii="Palatino Linotype" w:hAnsi="Palatino Linotype" w:cs="Arial"/>
          <w:color w:val="000000" w:themeColor="text1"/>
          <w:sz w:val="24"/>
          <w:szCs w:val="24"/>
        </w:rPr>
        <w:t>, que contiene de forma íntegra la información peticionada.</w:t>
      </w:r>
    </w:p>
    <w:p w:rsidR="00963AC0" w:rsidRPr="00803A23" w:rsidRDefault="00963AC0" w:rsidP="00963AC0">
      <w:pPr>
        <w:spacing w:before="240" w:after="0" w:line="360" w:lineRule="auto"/>
        <w:ind w:left="720"/>
        <w:contextualSpacing/>
        <w:jc w:val="both"/>
        <w:rPr>
          <w:rFonts w:ascii="Palatino Linotype" w:hAnsi="Palatino Linotype" w:cs="Arial"/>
          <w:i/>
          <w:color w:val="000000" w:themeColor="text1"/>
          <w:sz w:val="24"/>
          <w:szCs w:val="24"/>
        </w:rPr>
      </w:pPr>
    </w:p>
    <w:p w:rsidR="00963AC0" w:rsidRPr="00803A23" w:rsidRDefault="00963AC0" w:rsidP="00963AC0">
      <w:pPr>
        <w:pStyle w:val="Prrafodelista"/>
        <w:numPr>
          <w:ilvl w:val="0"/>
          <w:numId w:val="1"/>
        </w:numPr>
        <w:spacing w:line="360" w:lineRule="auto"/>
        <w:ind w:left="426"/>
        <w:jc w:val="both"/>
        <w:rPr>
          <w:rFonts w:ascii="Palatino Linotype" w:hAnsi="Palatino Linotype" w:cs="Arial"/>
          <w:sz w:val="24"/>
          <w:szCs w:val="28"/>
        </w:rPr>
      </w:pPr>
      <w:r w:rsidRPr="00803A23">
        <w:rPr>
          <w:rFonts w:ascii="Palatino Linotype" w:hAnsi="Palatino Linotype" w:cs="Arial"/>
          <w:sz w:val="24"/>
          <w:szCs w:val="28"/>
        </w:rPr>
        <w:t xml:space="preserve">No obstante, </w:t>
      </w:r>
      <w:r w:rsidR="001F4FBA" w:rsidRPr="00803A23">
        <w:rPr>
          <w:rFonts w:ascii="Palatino Linotype" w:hAnsi="Palatino Linotype" w:cs="Arial"/>
          <w:sz w:val="24"/>
          <w:szCs w:val="28"/>
        </w:rPr>
        <w:t xml:space="preserve">como </w:t>
      </w:r>
      <w:r w:rsidRPr="00803A23">
        <w:rPr>
          <w:rFonts w:ascii="Palatino Linotype" w:hAnsi="Palatino Linotype" w:cs="Arial"/>
          <w:sz w:val="24"/>
          <w:szCs w:val="28"/>
        </w:rPr>
        <w:t xml:space="preserve">desde un inicio el recurrente, señalo como modalidad de entrega de la información a través de </w:t>
      </w:r>
      <w:r w:rsidRPr="00803A23">
        <w:rPr>
          <w:rFonts w:ascii="Palatino Linotype" w:hAnsi="Palatino Linotype" w:cs="Arial"/>
          <w:b/>
          <w:sz w:val="24"/>
          <w:szCs w:val="28"/>
        </w:rPr>
        <w:t>copias certificada (con costo)</w:t>
      </w:r>
      <w:r w:rsidRPr="00803A23">
        <w:rPr>
          <w:rFonts w:ascii="Palatino Linotype" w:hAnsi="Palatino Linotype" w:cs="Arial"/>
          <w:sz w:val="24"/>
          <w:szCs w:val="28"/>
        </w:rPr>
        <w:t>, misma que se encuentra prevista en el artículo 155 fracción V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F4FBA" w:rsidRPr="00803A23" w:rsidRDefault="001F4FBA" w:rsidP="001F4FBA">
      <w:pPr>
        <w:pStyle w:val="Prrafodelista"/>
        <w:rPr>
          <w:rFonts w:ascii="Palatino Linotype" w:hAnsi="Palatino Linotype" w:cs="Arial"/>
          <w:sz w:val="24"/>
          <w:szCs w:val="28"/>
        </w:rPr>
      </w:pPr>
    </w:p>
    <w:p w:rsidR="001F4FBA" w:rsidRPr="00803A23" w:rsidRDefault="001F4FBA" w:rsidP="001F4FBA">
      <w:pPr>
        <w:pStyle w:val="Prrafodelista"/>
        <w:numPr>
          <w:ilvl w:val="0"/>
          <w:numId w:val="1"/>
        </w:numPr>
        <w:spacing w:line="360" w:lineRule="auto"/>
        <w:ind w:left="426"/>
        <w:jc w:val="both"/>
        <w:rPr>
          <w:rFonts w:ascii="Palatino Linotype" w:hAnsi="Palatino Linotype" w:cs="Arial"/>
          <w:sz w:val="24"/>
          <w:szCs w:val="24"/>
        </w:rPr>
      </w:pPr>
      <w:r w:rsidRPr="00803A23">
        <w:rPr>
          <w:rFonts w:ascii="Palatino Linotype" w:hAnsi="Palatino Linotype" w:cs="Arial"/>
          <w:color w:val="000000" w:themeColor="text1"/>
          <w:sz w:val="24"/>
          <w:szCs w:val="24"/>
        </w:rPr>
        <w:t xml:space="preserve">Por lo que en la resolución de referencia, se determinó </w:t>
      </w:r>
      <w:r w:rsidRPr="00803A23">
        <w:rPr>
          <w:rFonts w:ascii="Palatino Linotype" w:hAnsi="Palatino Linotype" w:cs="Arial"/>
          <w:sz w:val="24"/>
          <w:szCs w:val="24"/>
        </w:rPr>
        <w:t xml:space="preserve">que el Sujeto Obligado al no hacer la entrega de la información en la modalidad seleccionada por el recurrente, sino a través del </w:t>
      </w:r>
      <w:r w:rsidRPr="00803A23">
        <w:rPr>
          <w:rFonts w:ascii="Palatino Linotype" w:hAnsi="Palatino Linotype" w:cs="Arial"/>
          <w:b/>
          <w:sz w:val="24"/>
          <w:szCs w:val="24"/>
        </w:rPr>
        <w:t>SAIMEX,</w:t>
      </w:r>
      <w:r w:rsidRPr="00803A23">
        <w:rPr>
          <w:rFonts w:ascii="Palatino Linotype" w:hAnsi="Palatino Linotype" w:cs="Arial"/>
          <w:sz w:val="24"/>
          <w:szCs w:val="24"/>
        </w:rPr>
        <w:t xml:space="preserve"> incumplió con la modalidad de entrega de la información peticionada.</w:t>
      </w:r>
    </w:p>
    <w:p w:rsidR="00AD71BB" w:rsidRPr="00803A23" w:rsidRDefault="00AD71BB" w:rsidP="00963AC0">
      <w:pPr>
        <w:numPr>
          <w:ilvl w:val="0"/>
          <w:numId w:val="1"/>
        </w:numPr>
        <w:spacing w:before="240" w:after="0" w:line="360" w:lineRule="auto"/>
        <w:ind w:left="426"/>
        <w:contextualSpacing/>
        <w:jc w:val="both"/>
        <w:rPr>
          <w:rFonts w:ascii="Palatino Linotype" w:hAnsi="Palatino Linotype" w:cs="Arial"/>
          <w:i/>
          <w:color w:val="000000" w:themeColor="text1"/>
          <w:sz w:val="24"/>
          <w:szCs w:val="24"/>
        </w:rPr>
      </w:pPr>
      <w:r w:rsidRPr="00803A23">
        <w:rPr>
          <w:rFonts w:ascii="Palatino Linotype" w:hAnsi="Palatino Linotype" w:cs="Arial"/>
          <w:color w:val="000000" w:themeColor="text1"/>
          <w:sz w:val="24"/>
          <w:szCs w:val="24"/>
        </w:rPr>
        <w:t>Sin embargo</w:t>
      </w:r>
      <w:r w:rsidR="00787916" w:rsidRPr="00803A23">
        <w:rPr>
          <w:rFonts w:ascii="Palatino Linotype" w:hAnsi="Palatino Linotype" w:cs="Arial"/>
          <w:color w:val="000000" w:themeColor="text1"/>
          <w:sz w:val="24"/>
          <w:szCs w:val="24"/>
        </w:rPr>
        <w:t>,</w:t>
      </w:r>
      <w:r w:rsidRPr="00803A23">
        <w:rPr>
          <w:rFonts w:ascii="Palatino Linotype" w:hAnsi="Palatino Linotype" w:cs="Arial"/>
          <w:color w:val="000000" w:themeColor="text1"/>
          <w:sz w:val="24"/>
          <w:szCs w:val="24"/>
        </w:rPr>
        <w:t xml:space="preserve"> </w:t>
      </w:r>
      <w:r w:rsidR="00787916" w:rsidRPr="00803A23">
        <w:rPr>
          <w:rFonts w:ascii="Palatino Linotype" w:hAnsi="Palatino Linotype" w:cs="Arial"/>
          <w:color w:val="000000" w:themeColor="text1"/>
          <w:sz w:val="24"/>
          <w:szCs w:val="24"/>
        </w:rPr>
        <w:t>al no haberse colmado desde un inicio a cabalidad su derecho de acceso a la información</w:t>
      </w:r>
      <w:r w:rsidRPr="00803A23">
        <w:rPr>
          <w:rFonts w:ascii="Palatino Linotype" w:hAnsi="Palatino Linotype" w:cs="Arial"/>
          <w:color w:val="000000" w:themeColor="text1"/>
          <w:sz w:val="24"/>
          <w:szCs w:val="24"/>
        </w:rPr>
        <w:t xml:space="preserve">, </w:t>
      </w:r>
      <w:r w:rsidR="00787916" w:rsidRPr="00803A23">
        <w:rPr>
          <w:rFonts w:ascii="Palatino Linotype" w:hAnsi="Palatino Linotype" w:cs="Arial"/>
          <w:color w:val="000000" w:themeColor="text1"/>
          <w:sz w:val="24"/>
          <w:szCs w:val="24"/>
        </w:rPr>
        <w:t>se</w:t>
      </w:r>
      <w:r w:rsidRPr="00803A23">
        <w:rPr>
          <w:rFonts w:ascii="Palatino Linotype" w:hAnsi="Palatino Linotype" w:cs="Arial"/>
          <w:color w:val="000000" w:themeColor="text1"/>
          <w:sz w:val="24"/>
          <w:szCs w:val="24"/>
        </w:rPr>
        <w:t xml:space="preserve"> debió de eximirse a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lang w:val="es-ES"/>
        </w:rPr>
        <w:t xml:space="preserve">, </w:t>
      </w:r>
      <w:r w:rsidRPr="00803A23">
        <w:rPr>
          <w:rFonts w:ascii="Palatino Linotype" w:hAnsi="Palatino Linotype" w:cs="Arial"/>
          <w:color w:val="000000" w:themeColor="text1"/>
          <w:sz w:val="24"/>
          <w:szCs w:val="24"/>
        </w:rPr>
        <w:t xml:space="preserve">de dicho pago como medida de reparación al derecho afectado. </w:t>
      </w:r>
    </w:p>
    <w:p w:rsidR="00AD71BB" w:rsidRPr="00803A23" w:rsidRDefault="00AD71BB" w:rsidP="00AD71BB">
      <w:pPr>
        <w:spacing w:before="240" w:after="0" w:line="360" w:lineRule="auto"/>
        <w:contextualSpacing/>
        <w:jc w:val="both"/>
        <w:rPr>
          <w:rFonts w:ascii="Palatino Linotype" w:hAnsi="Palatino Linotype" w:cs="Arial"/>
          <w:b/>
          <w:iCs/>
          <w:color w:val="000000" w:themeColor="text1"/>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3" w:name="_Toc525568964"/>
      <w:r w:rsidRPr="00803A23">
        <w:rPr>
          <w:rFonts w:ascii="Palatino Linotype" w:eastAsiaTheme="majorEastAsia" w:hAnsi="Palatino Linotype" w:cs="Arial"/>
          <w:b/>
          <w:iCs/>
          <w:color w:val="000000" w:themeColor="text1"/>
          <w:sz w:val="24"/>
          <w:szCs w:val="24"/>
        </w:rPr>
        <w:lastRenderedPageBreak/>
        <w:t>El derecho de acceso a la información pública.</w:t>
      </w:r>
      <w:bookmarkEnd w:id="3"/>
      <w:r w:rsidRPr="00803A23">
        <w:rPr>
          <w:rFonts w:ascii="Palatino Linotype" w:eastAsiaTheme="majorEastAsia" w:hAnsi="Palatino Linotype" w:cs="Arial"/>
          <w:b/>
          <w:iCs/>
          <w:color w:val="000000" w:themeColor="text1"/>
          <w:sz w:val="24"/>
          <w:szCs w:val="24"/>
        </w:rPr>
        <w:t xml:space="preserve"> </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9A1D06">
      <w:pPr>
        <w:numPr>
          <w:ilvl w:val="0"/>
          <w:numId w:val="1"/>
        </w:numPr>
        <w:spacing w:before="240" w:after="0" w:line="360" w:lineRule="auto"/>
        <w:ind w:left="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803A23">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803A23">
        <w:rPr>
          <w:rFonts w:ascii="Palatino Linotype" w:eastAsia="Calibri" w:hAnsi="Palatino Linotype" w:cs="Arial"/>
          <w:i/>
          <w:color w:val="000000" w:themeColor="text1"/>
          <w:sz w:val="24"/>
          <w:szCs w:val="24"/>
          <w:lang w:val="es-ES" w:eastAsia="es-ES"/>
        </w:rPr>
        <w:t>la esfera de lo indecidible que</w:t>
      </w:r>
      <w:r w:rsidRPr="00803A23">
        <w:rPr>
          <w:rFonts w:ascii="Palatino Linotype" w:eastAsia="Calibri" w:hAnsi="Palatino Linotype" w:cs="Arial"/>
          <w:color w:val="000000" w:themeColor="text1"/>
          <w:sz w:val="24"/>
          <w:szCs w:val="24"/>
          <w:lang w:val="es-ES" w:eastAsia="es-ES"/>
        </w:rPr>
        <w:t xml:space="preserve"> o de</w:t>
      </w:r>
      <w:r w:rsidRPr="00803A23">
        <w:rPr>
          <w:rFonts w:ascii="Palatino Linotype" w:eastAsia="Calibri" w:hAnsi="Palatino Linotype" w:cs="Arial"/>
          <w:i/>
          <w:color w:val="000000" w:themeColor="text1"/>
          <w:sz w:val="24"/>
          <w:szCs w:val="24"/>
          <w:lang w:val="es-ES" w:eastAsia="es-ES"/>
        </w:rPr>
        <w:t xml:space="preserve"> lo indecidible que no</w:t>
      </w:r>
      <w:r w:rsidRPr="00803A23">
        <w:rPr>
          <w:rFonts w:ascii="Palatino Linotype" w:eastAsia="Calibri" w:hAnsi="Palatino Linotype" w:cs="Arial"/>
          <w:i/>
          <w:color w:val="000000" w:themeColor="text1"/>
          <w:sz w:val="24"/>
          <w:szCs w:val="24"/>
          <w:vertAlign w:val="superscript"/>
          <w:lang w:val="es-ES" w:eastAsia="es-ES"/>
        </w:rPr>
        <w:footnoteReference w:id="1"/>
      </w:r>
      <w:r w:rsidRPr="00803A23">
        <w:rPr>
          <w:rFonts w:ascii="Palatino Linotype" w:eastAsia="Calibri" w:hAnsi="Palatino Linotype" w:cs="Arial"/>
          <w:color w:val="000000" w:themeColor="text1"/>
          <w:sz w:val="24"/>
          <w:szCs w:val="24"/>
          <w:lang w:val="es-ES" w:eastAsia="es-ES"/>
        </w:rPr>
        <w:t xml:space="preserve"> o bien como principios que constituyen </w:t>
      </w:r>
      <w:r w:rsidRPr="00803A23">
        <w:rPr>
          <w:rFonts w:ascii="Palatino Linotype" w:eastAsia="Calibri" w:hAnsi="Palatino Linotype" w:cs="Arial"/>
          <w:i/>
          <w:color w:val="000000" w:themeColor="text1"/>
          <w:sz w:val="24"/>
          <w:szCs w:val="24"/>
          <w:lang w:val="es-ES" w:eastAsia="es-ES"/>
        </w:rPr>
        <w:t>mandatos de optimización</w:t>
      </w:r>
      <w:r w:rsidRPr="00803A23">
        <w:rPr>
          <w:rFonts w:ascii="Palatino Linotype" w:eastAsia="Calibri" w:hAnsi="Palatino Linotype" w:cs="Arial"/>
          <w:color w:val="000000" w:themeColor="text1"/>
          <w:sz w:val="24"/>
          <w:szCs w:val="24"/>
          <w:lang w:val="es-ES" w:eastAsia="es-ES"/>
        </w:rPr>
        <w:t>,</w:t>
      </w:r>
      <w:r w:rsidRPr="00803A23">
        <w:rPr>
          <w:rFonts w:ascii="Palatino Linotype" w:eastAsia="Calibri" w:hAnsi="Palatino Linotype" w:cs="Arial"/>
          <w:color w:val="000000" w:themeColor="text1"/>
          <w:sz w:val="24"/>
          <w:szCs w:val="24"/>
          <w:vertAlign w:val="superscript"/>
          <w:lang w:val="es-ES" w:eastAsia="es-ES"/>
        </w:rPr>
        <w:footnoteReference w:id="2"/>
      </w:r>
      <w:r w:rsidRPr="00803A23">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AD71BB" w:rsidRPr="00803A23" w:rsidRDefault="00AD71BB" w:rsidP="00AD71BB">
      <w:pPr>
        <w:spacing w:before="240" w:after="0" w:line="360" w:lineRule="auto"/>
        <w:contextualSpacing/>
        <w:jc w:val="both"/>
        <w:rPr>
          <w:rFonts w:ascii="Palatino Linotype" w:hAnsi="Palatino Linotype" w:cs="Arial"/>
          <w:color w:val="000000" w:themeColor="text1"/>
          <w:sz w:val="24"/>
          <w:szCs w:val="24"/>
        </w:rPr>
      </w:pPr>
    </w:p>
    <w:p w:rsidR="00AD71BB" w:rsidRPr="00803A23" w:rsidRDefault="00AD71BB" w:rsidP="00AD71BB">
      <w:pPr>
        <w:spacing w:before="240" w:after="0" w:line="360" w:lineRule="auto"/>
        <w:contextualSpacing/>
        <w:jc w:val="both"/>
        <w:rPr>
          <w:rFonts w:ascii="Palatino Linotype" w:hAnsi="Palatino Linotype" w:cs="Arial"/>
          <w:color w:val="000000" w:themeColor="text1"/>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4" w:name="_Toc525568965"/>
      <w:r w:rsidRPr="00803A23">
        <w:rPr>
          <w:rFonts w:ascii="Palatino Linotype" w:eastAsiaTheme="majorEastAsia" w:hAnsi="Palatino Linotype" w:cs="Arial"/>
          <w:b/>
          <w:iCs/>
          <w:color w:val="000000" w:themeColor="text1"/>
          <w:sz w:val="24"/>
          <w:szCs w:val="24"/>
        </w:rPr>
        <w:lastRenderedPageBreak/>
        <w:t>Las garantías primarias del derecho de acceso a la información pública.</w:t>
      </w:r>
      <w:bookmarkEnd w:id="4"/>
    </w:p>
    <w:p w:rsidR="00AD71BB" w:rsidRPr="00803A23" w:rsidRDefault="00AD71BB" w:rsidP="00AD71BB">
      <w:pPr>
        <w:spacing w:before="240" w:after="0" w:line="360" w:lineRule="auto"/>
        <w:contextualSpacing/>
        <w:jc w:val="both"/>
        <w:rPr>
          <w:rFonts w:ascii="Palatino Linotype" w:hAnsi="Palatino Linotype" w:cs="Arial"/>
          <w:i/>
          <w:color w:val="000000" w:themeColor="text1"/>
          <w:sz w:val="24"/>
          <w:szCs w:val="24"/>
        </w:rPr>
      </w:pPr>
    </w:p>
    <w:p w:rsidR="00AD71BB" w:rsidRPr="00803A23" w:rsidRDefault="00AD71BB" w:rsidP="00787916">
      <w:pPr>
        <w:numPr>
          <w:ilvl w:val="0"/>
          <w:numId w:val="1"/>
        </w:numPr>
        <w:spacing w:before="240" w:after="0" w:line="360" w:lineRule="auto"/>
        <w:ind w:left="426" w:hanging="426"/>
        <w:contextualSpacing/>
        <w:jc w:val="both"/>
        <w:rPr>
          <w:rFonts w:ascii="Palatino Linotype" w:hAnsi="Palatino Linotype" w:cs="Arial"/>
          <w:i/>
          <w:color w:val="000000" w:themeColor="text1"/>
          <w:sz w:val="24"/>
          <w:szCs w:val="24"/>
        </w:rPr>
      </w:pPr>
      <w:r w:rsidRPr="00803A23">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803A23">
        <w:rPr>
          <w:rFonts w:ascii="Palatino Linotype" w:hAnsi="Palatino Linotype" w:cs="Arial"/>
          <w:i/>
          <w:color w:val="000000" w:themeColor="text1"/>
          <w:sz w:val="24"/>
          <w:szCs w:val="24"/>
        </w:rPr>
        <w:t>las</w:t>
      </w:r>
      <w:r w:rsidRPr="00803A23">
        <w:rPr>
          <w:rFonts w:ascii="Palatino Linotype" w:hAnsi="Palatino Linotype" w:cs="Arial"/>
          <w:color w:val="000000" w:themeColor="text1"/>
          <w:sz w:val="24"/>
          <w:szCs w:val="24"/>
        </w:rPr>
        <w:t xml:space="preserve"> </w:t>
      </w:r>
      <w:r w:rsidRPr="00803A23">
        <w:rPr>
          <w:rFonts w:ascii="Palatino Linotype" w:hAnsi="Palatino Linotype" w:cs="Arial"/>
          <w:i/>
          <w:color w:val="000000" w:themeColor="text1"/>
          <w:sz w:val="24"/>
          <w:szCs w:val="24"/>
        </w:rPr>
        <w:t>obligaciones o prohibiciones inmediatamente correlativas a los derechos establecidos en las constituciones</w:t>
      </w:r>
      <w:r w:rsidRPr="00803A23">
        <w:rPr>
          <w:rFonts w:ascii="Palatino Linotype" w:hAnsi="Palatino Linotype" w:cs="Arial"/>
          <w:i/>
          <w:color w:val="000000" w:themeColor="text1"/>
          <w:sz w:val="24"/>
          <w:szCs w:val="24"/>
          <w:vertAlign w:val="superscript"/>
        </w:rPr>
        <w:footnoteReference w:id="3"/>
      </w:r>
      <w:r w:rsidRPr="00803A23">
        <w:rPr>
          <w:rFonts w:ascii="Palatino Linotype" w:hAnsi="Palatino Linotype" w:cs="Arial"/>
          <w:color w:val="000000" w:themeColor="text1"/>
          <w:sz w:val="24"/>
          <w:szCs w:val="24"/>
        </w:rPr>
        <w:t xml:space="preserve"> o bien </w:t>
      </w:r>
      <w:r w:rsidRPr="00803A23">
        <w:rPr>
          <w:rFonts w:ascii="Palatino Linotype" w:hAnsi="Palatino Linotype" w:cs="Arial"/>
          <w:i/>
          <w:color w:val="000000" w:themeColor="text1"/>
          <w:sz w:val="24"/>
          <w:szCs w:val="24"/>
        </w:rPr>
        <w:t>como la suma de las garantías positivas y de las garantías negativas,</w:t>
      </w:r>
      <w:r w:rsidRPr="00803A23">
        <w:rPr>
          <w:rFonts w:ascii="Palatino Linotype" w:hAnsi="Palatino Linotype" w:cs="Arial"/>
          <w:i/>
          <w:color w:val="000000" w:themeColor="text1"/>
          <w:sz w:val="24"/>
          <w:szCs w:val="24"/>
          <w:vertAlign w:val="superscript"/>
        </w:rPr>
        <w:footnoteReference w:id="4"/>
      </w:r>
      <w:r w:rsidRPr="00803A23">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803A23">
        <w:rPr>
          <w:rFonts w:ascii="Palatino Linotype" w:hAnsi="Palatino Linotype" w:cs="Arial"/>
          <w:i/>
          <w:color w:val="000000" w:themeColor="text1"/>
          <w:sz w:val="24"/>
          <w:szCs w:val="24"/>
        </w:rPr>
        <w:t xml:space="preserve">el procedimiento de acceso a la información pública es la garantía del derecho en cuestión. </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78791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Por lo tanto, cuando</w:t>
      </w:r>
      <w:r w:rsidRPr="00803A23">
        <w:rPr>
          <w:rFonts w:ascii="Palatino Linotype" w:eastAsia="Calibri" w:hAnsi="Palatino Linotype" w:cs="Times New Roman"/>
          <w:b/>
          <w:szCs w:val="24"/>
          <w:lang w:val="es-ES" w:eastAsia="es-ES"/>
        </w:rPr>
        <w:t xml:space="preserv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color w:val="000000" w:themeColor="text1"/>
          <w:sz w:val="24"/>
          <w:szCs w:val="24"/>
        </w:rPr>
        <w:t>, acudió a la solicitud de acceso a la información pública ante el</w:t>
      </w:r>
      <w:r w:rsidRPr="00803A23">
        <w:rPr>
          <w:rFonts w:ascii="Palatino Linotype" w:eastAsia="Calibri" w:hAnsi="Palatino Linotype" w:cs="Times New Roman"/>
          <w:b/>
          <w:sz w:val="24"/>
          <w:szCs w:val="24"/>
          <w:lang w:val="es-ES" w:eastAsia="es-ES"/>
        </w:rPr>
        <w:t xml:space="preserve"> </w:t>
      </w:r>
      <w:r w:rsidR="00180ABB" w:rsidRPr="00803A23">
        <w:rPr>
          <w:rFonts w:ascii="Palatino Linotype" w:hAnsi="Palatino Linotype" w:cs="Arial"/>
          <w:b/>
          <w:color w:val="000000" w:themeColor="text1"/>
          <w:sz w:val="24"/>
          <w:szCs w:val="24"/>
          <w:lang w:val="es-ES"/>
        </w:rPr>
        <w:t>Colegio de Educación Profesional Técnica</w:t>
      </w:r>
      <w:r w:rsidRPr="00803A23">
        <w:rPr>
          <w:rFonts w:ascii="Palatino Linotype" w:hAnsi="Palatino Linotype" w:cs="Arial"/>
          <w:color w:val="000000" w:themeColor="text1"/>
          <w:sz w:val="24"/>
          <w:szCs w:val="24"/>
        </w:rPr>
        <w:t xml:space="preserve">, acudió al ejercicio efectivo del derecho en cuestión a través de su garantía primaria depositada en el propio Sujeto Obligado quien, por mandato categórico del </w:t>
      </w:r>
      <w:r w:rsidRPr="00803A23">
        <w:rPr>
          <w:rFonts w:ascii="Palatino Linotype" w:hAnsi="Palatino Linotype" w:cs="Arial"/>
          <w:color w:val="000000" w:themeColor="text1"/>
          <w:sz w:val="24"/>
          <w:szCs w:val="24"/>
        </w:rPr>
        <w:lastRenderedPageBreak/>
        <w:t>tercer párrafo del artículo primero de la Constitución Federal</w:t>
      </w:r>
      <w:r w:rsidRPr="00803A23">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803A23">
        <w:rPr>
          <w:rFonts w:ascii="Palatino Linotype" w:eastAsia="Calibri" w:hAnsi="Palatino Linotype" w:cs="Arial"/>
          <w:b/>
          <w:color w:val="000000" w:themeColor="text1"/>
          <w:sz w:val="24"/>
          <w:szCs w:val="24"/>
          <w:lang w:val="es-ES" w:eastAsia="es-ES"/>
        </w:rPr>
        <w:t>“promover, respetar, proteger y garantizar los derechos humanos</w:t>
      </w:r>
      <w:r w:rsidRPr="00803A23">
        <w:rPr>
          <w:rFonts w:ascii="Palatino Linotype" w:eastAsia="Calibri" w:hAnsi="Palatino Linotype" w:cs="Arial"/>
          <w:color w:val="000000" w:themeColor="text1"/>
          <w:sz w:val="24"/>
          <w:szCs w:val="24"/>
          <w:lang w:val="es-ES" w:eastAsia="es-ES"/>
        </w:rPr>
        <w:t>”, entre los cuales se encuentra el de acceso a la información.</w:t>
      </w:r>
    </w:p>
    <w:p w:rsidR="00787916" w:rsidRPr="00803A23" w:rsidRDefault="00787916" w:rsidP="00787916">
      <w:pPr>
        <w:pStyle w:val="Prrafodelista"/>
        <w:rPr>
          <w:rFonts w:ascii="Palatino Linotype" w:hAnsi="Palatino Linotype" w:cs="Arial"/>
          <w:color w:val="000000" w:themeColor="text1"/>
          <w:sz w:val="24"/>
          <w:szCs w:val="24"/>
        </w:rPr>
      </w:pPr>
    </w:p>
    <w:p w:rsidR="00AD71BB" w:rsidRPr="00803A23" w:rsidRDefault="00AD71BB" w:rsidP="0078791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a pesar de que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rPr>
        <w:t>,</w:t>
      </w:r>
      <w:r w:rsidRPr="00803A23">
        <w:rPr>
          <w:rFonts w:ascii="Palatino Linotype" w:hAnsi="Palatino Linotype" w:cs="Arial"/>
          <w:color w:val="000000" w:themeColor="text1"/>
          <w:sz w:val="24"/>
          <w:szCs w:val="24"/>
        </w:rPr>
        <w:t xml:space="preserve"> cuenta con el derecho de señalar la modalidad de copia certificadas (con costo) como la forma en la que requiere acceder a la información solicitada, según lo establece el artículo 155 fracción V de la Ley de Transparencia y Acceso a la Información Pública del Estado de México y Municipios, el</w:t>
      </w:r>
      <w:r w:rsidRPr="00803A23">
        <w:rPr>
          <w:rFonts w:ascii="Palatino Linotype" w:hAnsi="Palatino Linotype" w:cs="Arial"/>
          <w:b/>
          <w:color w:val="000000" w:themeColor="text1"/>
          <w:sz w:val="24"/>
          <w:szCs w:val="24"/>
          <w:lang w:val="es-ES"/>
        </w:rPr>
        <w:t xml:space="preserve"> </w:t>
      </w:r>
      <w:r w:rsidR="00180ABB" w:rsidRPr="00803A23">
        <w:rPr>
          <w:rFonts w:ascii="Palatino Linotype" w:hAnsi="Palatino Linotype" w:cs="Arial"/>
          <w:b/>
          <w:color w:val="000000" w:themeColor="text1"/>
          <w:sz w:val="24"/>
          <w:szCs w:val="24"/>
          <w:lang w:val="es-ES"/>
        </w:rPr>
        <w:t>Colegio de Educación Profesional Técnica</w:t>
      </w:r>
      <w:r w:rsidRPr="00803A23">
        <w:rPr>
          <w:rFonts w:ascii="Palatino Linotype" w:hAnsi="Palatino Linotype" w:cs="Arial"/>
          <w:b/>
          <w:color w:val="000000" w:themeColor="text1"/>
          <w:sz w:val="24"/>
          <w:szCs w:val="24"/>
          <w:lang w:val="es-ES"/>
        </w:rPr>
        <w:t>,</w:t>
      </w:r>
      <w:r w:rsidRPr="00803A23">
        <w:rPr>
          <w:rFonts w:ascii="Palatino Linotype" w:hAnsi="Palatino Linotype" w:cs="Arial"/>
          <w:color w:val="000000" w:themeColor="text1"/>
          <w:sz w:val="24"/>
          <w:szCs w:val="24"/>
        </w:rPr>
        <w:t xml:space="preserve"> </w:t>
      </w:r>
      <w:r w:rsidR="006D72CD" w:rsidRPr="00803A23">
        <w:rPr>
          <w:rFonts w:ascii="Palatino Linotype" w:hAnsi="Palatino Linotype" w:cs="Arial"/>
          <w:color w:val="000000" w:themeColor="text1"/>
          <w:sz w:val="24"/>
          <w:szCs w:val="24"/>
        </w:rPr>
        <w:t>omite pronunciarse al respecto;</w:t>
      </w:r>
      <w:r w:rsidRPr="00803A23">
        <w:rPr>
          <w:rFonts w:ascii="Palatino Linotype" w:hAnsi="Palatino Linotype" w:cs="Arial"/>
          <w:color w:val="000000" w:themeColor="text1"/>
          <w:sz w:val="24"/>
          <w:szCs w:val="24"/>
        </w:rPr>
        <w:t xml:space="preserve">  </w:t>
      </w:r>
      <w:r w:rsidR="006D72CD" w:rsidRPr="00803A23">
        <w:rPr>
          <w:rFonts w:ascii="Palatino Linotype" w:hAnsi="Palatino Linotype" w:cs="Arial"/>
          <w:color w:val="000000" w:themeColor="text1"/>
          <w:sz w:val="24"/>
          <w:szCs w:val="24"/>
        </w:rPr>
        <w:t>empero</w:t>
      </w:r>
      <w:r w:rsidRPr="00803A23">
        <w:rPr>
          <w:rFonts w:ascii="Palatino Linotype" w:hAnsi="Palatino Linotype" w:cs="Arial"/>
          <w:color w:val="000000" w:themeColor="text1"/>
          <w:sz w:val="24"/>
          <w:szCs w:val="24"/>
        </w:rPr>
        <w:t>, al momento de resolver el presente recurso se determinó el pago previo de la copias certificadas sin justificar de ninguna manera la decisión.</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w:t>
      </w:r>
    </w:p>
    <w:p w:rsidR="00AD71BB" w:rsidRPr="00803A23" w:rsidRDefault="00AD71BB" w:rsidP="00977350">
      <w:pPr>
        <w:numPr>
          <w:ilvl w:val="0"/>
          <w:numId w:val="1"/>
        </w:numPr>
        <w:spacing w:after="0" w:line="360" w:lineRule="auto"/>
        <w:ind w:left="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Dicha decisión habría sido correcta y habría respetado plenamente el derecho de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rPr>
        <w:t xml:space="preserve">, </w:t>
      </w:r>
      <w:r w:rsidRPr="00803A23">
        <w:rPr>
          <w:rFonts w:ascii="Palatino Linotype" w:hAnsi="Palatino Linotype" w:cs="Arial"/>
          <w:color w:val="000000" w:themeColor="text1"/>
          <w:sz w:val="24"/>
          <w:szCs w:val="24"/>
        </w:rPr>
        <w:t xml:space="preserve">si se le hubiera entregado la información al momento de dar contestación a la solicitud de información, situación que no ocurrió, sino </w:t>
      </w:r>
      <w:r w:rsidRPr="00803A23">
        <w:rPr>
          <w:rFonts w:ascii="Palatino Linotype" w:hAnsi="Palatino Linotype" w:cs="Arial"/>
          <w:color w:val="000000" w:themeColor="text1"/>
          <w:sz w:val="24"/>
          <w:szCs w:val="24"/>
        </w:rPr>
        <w:lastRenderedPageBreak/>
        <w:t>todo lo contrario se</w:t>
      </w:r>
      <w:r w:rsidR="006D72CD" w:rsidRPr="00803A23">
        <w:rPr>
          <w:rFonts w:ascii="Palatino Linotype" w:hAnsi="Palatino Linotype" w:cs="Arial"/>
          <w:color w:val="000000" w:themeColor="text1"/>
          <w:sz w:val="24"/>
          <w:szCs w:val="24"/>
        </w:rPr>
        <w:t xml:space="preserve"> careció de pronunciamiento alguno; por el contrario, el</w:t>
      </w:r>
      <w:r w:rsidRPr="00803A23">
        <w:rPr>
          <w:rFonts w:ascii="Palatino Linotype" w:hAnsi="Palatino Linotype" w:cs="Arial"/>
          <w:color w:val="000000" w:themeColor="text1"/>
          <w:sz w:val="24"/>
          <w:szCs w:val="24"/>
        </w:rPr>
        <w:t xml:space="preserve"> </w:t>
      </w:r>
      <w:r w:rsidR="00180ABB" w:rsidRPr="00803A23">
        <w:rPr>
          <w:rFonts w:ascii="Palatino Linotype" w:hAnsi="Palatino Linotype" w:cs="Arial"/>
          <w:b/>
          <w:color w:val="000000" w:themeColor="text1"/>
          <w:sz w:val="24"/>
          <w:szCs w:val="24"/>
          <w:lang w:val="es-ES"/>
        </w:rPr>
        <w:t>Colegio de Educación Profesional Técnica</w:t>
      </w:r>
      <w:r w:rsidRPr="00803A23">
        <w:rPr>
          <w:rFonts w:ascii="Palatino Linotype" w:hAnsi="Palatino Linotype" w:cs="Arial"/>
          <w:color w:val="000000" w:themeColor="text1"/>
          <w:sz w:val="24"/>
          <w:szCs w:val="24"/>
        </w:rPr>
        <w:t xml:space="preserve">, también habría respetado el derecho de acceso a la información de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lang w:val="es-ES"/>
        </w:rPr>
        <w:t>,</w:t>
      </w:r>
      <w:r w:rsidRPr="00803A23">
        <w:rPr>
          <w:rFonts w:ascii="Palatino Linotype" w:hAnsi="Palatino Linotype" w:cs="Arial"/>
          <w:b/>
          <w:color w:val="000000" w:themeColor="text1"/>
          <w:sz w:val="24"/>
          <w:szCs w:val="24"/>
        </w:rPr>
        <w:t xml:space="preserve"> </w:t>
      </w:r>
      <w:r w:rsidRPr="00803A23">
        <w:rPr>
          <w:rFonts w:ascii="Palatino Linotype" w:hAnsi="Palatino Linotype" w:cs="Arial"/>
          <w:color w:val="000000" w:themeColor="text1"/>
          <w:sz w:val="24"/>
          <w:szCs w:val="24"/>
        </w:rPr>
        <w:t>observando las mejores prácticas si en su respuesta hubiera puesto a disposición de la persona la información requerida previo el pago de los derechos por la certificación de los documentos, cuanto proceda en copia certifica como lo establece el artículo 174 fracción III de la Ley de Transparencia, antes citada, lo que desafortunadamente tampoco hizo.</w:t>
      </w:r>
    </w:p>
    <w:p w:rsidR="00AD71BB" w:rsidRPr="00803A23" w:rsidRDefault="00AD71BB" w:rsidP="00AD71BB">
      <w:pPr>
        <w:keepNext/>
        <w:keepLines/>
        <w:spacing w:before="40" w:after="0"/>
        <w:outlineLvl w:val="1"/>
        <w:rPr>
          <w:rFonts w:ascii="Palatino Linotype" w:eastAsiaTheme="majorEastAsia" w:hAnsi="Palatino Linotype" w:cs="Arial"/>
          <w:color w:val="2E74B5" w:themeColor="accent1" w:themeShade="BF"/>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5" w:name="_Toc525568966"/>
      <w:r w:rsidRPr="00803A23">
        <w:rPr>
          <w:rFonts w:ascii="Palatino Linotype" w:eastAsiaTheme="majorEastAsia" w:hAnsi="Palatino Linotype" w:cs="Arial"/>
          <w:b/>
          <w:iCs/>
          <w:color w:val="000000" w:themeColor="text1"/>
          <w:sz w:val="24"/>
          <w:szCs w:val="24"/>
        </w:rPr>
        <w:t>La garantía secundaria del derecho de acceso a la información pública.</w:t>
      </w:r>
      <w:bookmarkEnd w:id="5"/>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9A1D0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803A23">
        <w:rPr>
          <w:rFonts w:ascii="Palatino Linotype" w:hAnsi="Palatino Linotype" w:cs="Arial"/>
          <w:i/>
          <w:color w:val="000000" w:themeColor="text1"/>
          <w:sz w:val="24"/>
          <w:szCs w:val="24"/>
        </w:rPr>
        <w:t>investigar, sancionar y reparar</w:t>
      </w:r>
      <w:r w:rsidRPr="00803A23">
        <w:rPr>
          <w:rFonts w:ascii="Palatino Linotype" w:hAnsi="Palatino Linotype" w:cs="Arial"/>
          <w:color w:val="000000" w:themeColor="text1"/>
          <w:sz w:val="24"/>
          <w:szCs w:val="24"/>
        </w:rPr>
        <w:t xml:space="preserve"> sus violaciones. </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9A1D0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Las propias obligaciones internacionales adquiridas por el Estado Mexicano  determinan que nuestro país cuente con un procedimiento sencillo, rápido</w:t>
      </w:r>
      <w:r w:rsidRPr="00803A23">
        <w:rPr>
          <w:rFonts w:ascii="Palatino Linotype" w:hAnsi="Palatino Linotype" w:cs="Arial"/>
          <w:color w:val="000000" w:themeColor="text1"/>
          <w:sz w:val="24"/>
          <w:szCs w:val="24"/>
          <w:vertAlign w:val="superscript"/>
        </w:rPr>
        <w:footnoteReference w:id="5"/>
      </w:r>
      <w:r w:rsidRPr="00803A23">
        <w:rPr>
          <w:rFonts w:ascii="Palatino Linotype" w:hAnsi="Palatino Linotype" w:cs="Arial"/>
          <w:color w:val="000000" w:themeColor="text1"/>
          <w:sz w:val="24"/>
          <w:szCs w:val="24"/>
        </w:rPr>
        <w:t xml:space="preserve"> y  efectivo</w:t>
      </w:r>
      <w:r w:rsidRPr="00803A23">
        <w:rPr>
          <w:rFonts w:ascii="Palatino Linotype" w:hAnsi="Palatino Linotype" w:cs="Arial"/>
          <w:color w:val="000000" w:themeColor="text1"/>
          <w:sz w:val="24"/>
          <w:szCs w:val="24"/>
          <w:vertAlign w:val="superscript"/>
        </w:rPr>
        <w:footnoteReference w:id="6"/>
      </w:r>
      <w:r w:rsidRPr="00803A23">
        <w:rPr>
          <w:rFonts w:ascii="Palatino Linotype" w:hAnsi="Palatino Linotype" w:cs="Arial"/>
          <w:color w:val="000000" w:themeColor="text1"/>
          <w:sz w:val="24"/>
          <w:szCs w:val="24"/>
        </w:rPr>
        <w:t xml:space="preserve"> para la protección del derecho de acceso a la información pública, que </w:t>
      </w:r>
      <w:r w:rsidRPr="00803A23">
        <w:rPr>
          <w:rFonts w:ascii="Palatino Linotype" w:hAnsi="Palatino Linotype" w:cs="Arial"/>
          <w:color w:val="000000" w:themeColor="text1"/>
          <w:sz w:val="24"/>
          <w:szCs w:val="24"/>
        </w:rPr>
        <w:lastRenderedPageBreak/>
        <w:t>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803A23">
        <w:rPr>
          <w:rFonts w:ascii="Palatino Linotype" w:hAnsi="Palatino Linotype" w:cs="Arial"/>
          <w:color w:val="000000" w:themeColor="text1"/>
          <w:sz w:val="24"/>
          <w:szCs w:val="24"/>
          <w:vertAlign w:val="superscript"/>
        </w:rPr>
        <w:footnoteReference w:id="7"/>
      </w:r>
      <w:r w:rsidRPr="00803A23">
        <w:rPr>
          <w:rFonts w:ascii="Palatino Linotype" w:hAnsi="Palatino Linotype" w:cs="Arial"/>
          <w:color w:val="000000" w:themeColor="text1"/>
          <w:sz w:val="24"/>
          <w:szCs w:val="24"/>
        </w:rPr>
        <w:t xml:space="preserve"> </w:t>
      </w: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9A1D06">
      <w:pPr>
        <w:numPr>
          <w:ilvl w:val="0"/>
          <w:numId w:val="1"/>
        </w:numPr>
        <w:tabs>
          <w:tab w:val="left" w:pos="142"/>
        </w:tabs>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803A23">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803A23">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803A23">
        <w:rPr>
          <w:rFonts w:ascii="Palatino Linotype" w:hAnsi="Palatino Linotype" w:cs="Arial"/>
          <w:i/>
          <w:color w:val="000000" w:themeColor="text1"/>
          <w:sz w:val="24"/>
          <w:szCs w:val="24"/>
        </w:rPr>
        <w:t xml:space="preserve">la reparación judicial </w:t>
      </w:r>
      <w:r w:rsidRPr="00803A23">
        <w:rPr>
          <w:rFonts w:ascii="Palatino Linotype" w:hAnsi="Palatino Linotype" w:cs="Arial"/>
          <w:color w:val="000000" w:themeColor="text1"/>
          <w:sz w:val="24"/>
          <w:szCs w:val="24"/>
        </w:rPr>
        <w:t>(en nuestro caso, materialmente jurisdiccional)</w:t>
      </w:r>
      <w:r w:rsidRPr="00803A23">
        <w:rPr>
          <w:rFonts w:ascii="Palatino Linotype" w:hAnsi="Palatino Linotype" w:cs="Arial"/>
          <w:i/>
          <w:color w:val="000000" w:themeColor="text1"/>
          <w:sz w:val="24"/>
          <w:szCs w:val="24"/>
        </w:rPr>
        <w:t xml:space="preserve"> de las violaciones de las garantías primarias</w:t>
      </w:r>
      <w:r w:rsidRPr="00803A23">
        <w:rPr>
          <w:rFonts w:ascii="Palatino Linotype" w:hAnsi="Palatino Linotype" w:cs="Arial"/>
          <w:i/>
          <w:color w:val="000000" w:themeColor="text1"/>
          <w:sz w:val="24"/>
          <w:szCs w:val="24"/>
          <w:vertAlign w:val="superscript"/>
        </w:rPr>
        <w:footnoteReference w:id="8"/>
      </w:r>
      <w:r w:rsidRPr="00803A23">
        <w:rPr>
          <w:rFonts w:ascii="Palatino Linotype" w:hAnsi="Palatino Linotype" w:cs="Arial"/>
          <w:i/>
          <w:color w:val="000000" w:themeColor="text1"/>
          <w:sz w:val="24"/>
          <w:szCs w:val="24"/>
        </w:rPr>
        <w:t xml:space="preserve"> </w:t>
      </w:r>
      <w:r w:rsidRPr="00803A23">
        <w:rPr>
          <w:rFonts w:ascii="Palatino Linotype" w:hAnsi="Palatino Linotype" w:cs="Arial"/>
          <w:color w:val="000000" w:themeColor="text1"/>
          <w:sz w:val="24"/>
          <w:szCs w:val="24"/>
        </w:rPr>
        <w:t xml:space="preserve">o como </w:t>
      </w:r>
      <w:r w:rsidRPr="00803A23">
        <w:rPr>
          <w:rFonts w:ascii="Palatino Linotype" w:hAnsi="Palatino Linotype" w:cs="Arial"/>
          <w:i/>
          <w:color w:val="000000" w:themeColor="text1"/>
          <w:sz w:val="24"/>
          <w:szCs w:val="24"/>
        </w:rPr>
        <w:t xml:space="preserve">garantías jurisdiccionales de </w:t>
      </w:r>
      <w:proofErr w:type="spellStart"/>
      <w:r w:rsidRPr="00803A23">
        <w:rPr>
          <w:rFonts w:ascii="Palatino Linotype" w:hAnsi="Palatino Linotype" w:cs="Arial"/>
          <w:i/>
          <w:color w:val="000000" w:themeColor="text1"/>
          <w:sz w:val="24"/>
          <w:szCs w:val="24"/>
        </w:rPr>
        <w:t>justiciabilidad</w:t>
      </w:r>
      <w:proofErr w:type="spellEnd"/>
      <w:r w:rsidRPr="00803A23">
        <w:rPr>
          <w:rFonts w:ascii="Palatino Linotype" w:hAnsi="Palatino Linotype" w:cs="Arial"/>
          <w:i/>
          <w:color w:val="000000" w:themeColor="text1"/>
          <w:sz w:val="24"/>
          <w:szCs w:val="24"/>
        </w:rPr>
        <w:t xml:space="preserve"> que intervienen, en caso de violación de las garantías primarias y de los derechos correlativos, a través de la anulación de los actos inválidos y de la sanción por los actos ilícitos.</w:t>
      </w:r>
      <w:r w:rsidRPr="00803A23">
        <w:rPr>
          <w:rFonts w:ascii="Palatino Linotype" w:hAnsi="Palatino Linotype" w:cs="Arial"/>
          <w:i/>
          <w:color w:val="000000" w:themeColor="text1"/>
          <w:sz w:val="24"/>
          <w:szCs w:val="24"/>
          <w:vertAlign w:val="superscript"/>
        </w:rPr>
        <w:footnoteReference w:id="9"/>
      </w:r>
      <w:r w:rsidRPr="00803A23">
        <w:rPr>
          <w:rFonts w:ascii="Palatino Linotype" w:hAnsi="Palatino Linotype" w:cs="Arial"/>
          <w:i/>
          <w:color w:val="000000" w:themeColor="text1"/>
          <w:sz w:val="24"/>
          <w:szCs w:val="24"/>
        </w:rPr>
        <w:t xml:space="preserve"> </w:t>
      </w:r>
    </w:p>
    <w:p w:rsidR="00DE7F76" w:rsidRPr="00803A23" w:rsidRDefault="00DE7F76" w:rsidP="00DE7F76">
      <w:pPr>
        <w:pStyle w:val="Prrafodelista"/>
        <w:rPr>
          <w:rFonts w:ascii="Palatino Linotype" w:hAnsi="Palatino Linotype" w:cs="Arial"/>
          <w:color w:val="000000" w:themeColor="text1"/>
          <w:sz w:val="24"/>
          <w:szCs w:val="24"/>
        </w:rPr>
      </w:pPr>
    </w:p>
    <w:p w:rsidR="00AD71BB" w:rsidRPr="00803A23" w:rsidRDefault="00AD71BB" w:rsidP="00E11A00">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lastRenderedPageBreak/>
        <w:t>En el caso</w:t>
      </w:r>
      <w:r w:rsidR="00C66870" w:rsidRPr="00803A23">
        <w:rPr>
          <w:rFonts w:ascii="Palatino Linotype" w:hAnsi="Palatino Linotype" w:cs="Arial"/>
          <w:color w:val="000000" w:themeColor="text1"/>
          <w:sz w:val="24"/>
          <w:szCs w:val="24"/>
        </w:rPr>
        <w:t xml:space="preserve"> que se resuelve, al no haberse respetado inicialmente la modalidad de entrega de la información se actualiza lo</w:t>
      </w:r>
      <w:r w:rsidRPr="00803A23">
        <w:rPr>
          <w:rFonts w:ascii="Palatino Linotype" w:hAnsi="Palatino Linotype" w:cs="Arial"/>
          <w:color w:val="000000" w:themeColor="text1"/>
          <w:sz w:val="24"/>
          <w:szCs w:val="24"/>
        </w:rPr>
        <w:t xml:space="preserve"> estipulado por el artículo 234, </w:t>
      </w:r>
      <w:r w:rsidR="00C66870" w:rsidRPr="00803A23">
        <w:rPr>
          <w:rFonts w:ascii="Palatino Linotype" w:hAnsi="Palatino Linotype" w:cs="Arial"/>
          <w:color w:val="000000" w:themeColor="text1"/>
          <w:sz w:val="24"/>
          <w:szCs w:val="24"/>
        </w:rPr>
        <w:t xml:space="preserve">pues </w:t>
      </w:r>
      <w:r w:rsidRPr="00803A23">
        <w:rPr>
          <w:rFonts w:ascii="Palatino Linotype" w:hAnsi="Palatino Linotype" w:cs="Arial"/>
          <w:color w:val="000000" w:themeColor="text1"/>
          <w:sz w:val="24"/>
          <w:szCs w:val="24"/>
        </w:rPr>
        <w:t xml:space="preserve"> constituye una afectación indebida e injustificada a su derecho de acceso a la información públic</w:t>
      </w:r>
      <w:r w:rsidR="00C66870" w:rsidRPr="00803A23">
        <w:rPr>
          <w:rFonts w:ascii="Palatino Linotype" w:hAnsi="Palatino Linotype" w:cs="Arial"/>
          <w:color w:val="000000" w:themeColor="text1"/>
          <w:sz w:val="24"/>
          <w:szCs w:val="24"/>
        </w:rPr>
        <w:t xml:space="preserve">a, por lo que </w:t>
      </w:r>
      <w:r w:rsidRPr="00803A23">
        <w:rPr>
          <w:rFonts w:ascii="Palatino Linotype" w:hAnsi="Palatino Linotype" w:cs="Arial"/>
          <w:color w:val="000000" w:themeColor="text1"/>
          <w:sz w:val="24"/>
          <w:szCs w:val="24"/>
        </w:rPr>
        <w:t xml:space="preserve">este Pleno, pretende reparar a través de la resolución que acompaño con el presente voto, mediante el cual se ordena la entrega de la información en copia certificada sin costo por no existir razón alguna que lo impida. </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DE7F76" w:rsidRPr="00803A23" w:rsidRDefault="00DE7F76"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6" w:name="_Toc525568967"/>
      <w:r w:rsidRPr="00803A23">
        <w:rPr>
          <w:rFonts w:ascii="Palatino Linotype" w:eastAsiaTheme="majorEastAsia" w:hAnsi="Palatino Linotype" w:cs="Arial"/>
          <w:b/>
          <w:iCs/>
          <w:color w:val="000000" w:themeColor="text1"/>
          <w:sz w:val="24"/>
          <w:szCs w:val="24"/>
        </w:rPr>
        <w:t>Consecuencias de la violación al derecho humano.</w:t>
      </w:r>
      <w:bookmarkEnd w:id="6"/>
      <w:r w:rsidRPr="00803A23">
        <w:rPr>
          <w:rFonts w:ascii="Palatino Linotype" w:eastAsiaTheme="majorEastAsia" w:hAnsi="Palatino Linotype" w:cs="Arial"/>
          <w:b/>
          <w:iCs/>
          <w:color w:val="000000" w:themeColor="text1"/>
          <w:sz w:val="24"/>
          <w:szCs w:val="24"/>
        </w:rPr>
        <w:t xml:space="preserve"> </w:t>
      </w:r>
    </w:p>
    <w:p w:rsidR="00AD71BB" w:rsidRPr="00803A23" w:rsidRDefault="00AD71BB" w:rsidP="00AD71BB">
      <w:pPr>
        <w:spacing w:line="360" w:lineRule="auto"/>
        <w:rPr>
          <w:rFonts w:ascii="Palatino Linotype" w:hAnsi="Palatino Linotype" w:cs="Arial"/>
          <w:color w:val="000000" w:themeColor="text1"/>
          <w:sz w:val="24"/>
          <w:szCs w:val="24"/>
        </w:rPr>
      </w:pPr>
    </w:p>
    <w:p w:rsidR="00AD71BB" w:rsidRPr="00803A23" w:rsidRDefault="00AD71BB" w:rsidP="00E11A00">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803A23">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803A23">
        <w:rPr>
          <w:rFonts w:ascii="Palatino Linotype" w:hAnsi="Palatino Linotype" w:cs="Arial"/>
          <w:color w:val="000000" w:themeColor="text1"/>
          <w:sz w:val="24"/>
          <w:szCs w:val="24"/>
        </w:rPr>
        <w:t xml:space="preserve">En este caso es plenamente evidente que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rPr>
        <w:t xml:space="preserve">, </w:t>
      </w:r>
      <w:r w:rsidRPr="00803A23">
        <w:rPr>
          <w:rFonts w:ascii="Palatino Linotype" w:hAnsi="Palatino Linotype" w:cs="Arial"/>
          <w:color w:val="000000" w:themeColor="text1"/>
          <w:sz w:val="24"/>
          <w:szCs w:val="24"/>
        </w:rPr>
        <w:t xml:space="preserve">pretendió a acceder a cierta información en copias certificada y que la autoridad inicialmente </w:t>
      </w:r>
      <w:r w:rsidR="00C66870" w:rsidRPr="00803A23">
        <w:rPr>
          <w:rFonts w:ascii="Palatino Linotype" w:hAnsi="Palatino Linotype" w:cs="Arial"/>
          <w:color w:val="000000" w:themeColor="text1"/>
          <w:sz w:val="24"/>
          <w:szCs w:val="24"/>
        </w:rPr>
        <w:t>no la puso a disposición en esos términos sin</w:t>
      </w:r>
      <w:r w:rsidRPr="00803A23">
        <w:rPr>
          <w:rFonts w:ascii="Palatino Linotype" w:hAnsi="Palatino Linotype" w:cs="Arial"/>
          <w:color w:val="000000" w:themeColor="text1"/>
          <w:sz w:val="24"/>
          <w:szCs w:val="24"/>
        </w:rPr>
        <w:t xml:space="preserve"> argumento o causa justificada, lo cual generó un agravió en la persona que acudió a la garantía secundaria para la </w:t>
      </w:r>
      <w:proofErr w:type="spellStart"/>
      <w:r w:rsidRPr="00803A23">
        <w:rPr>
          <w:rFonts w:ascii="Palatino Linotype" w:hAnsi="Palatino Linotype" w:cs="Arial"/>
          <w:i/>
          <w:color w:val="000000" w:themeColor="text1"/>
          <w:sz w:val="24"/>
          <w:szCs w:val="24"/>
        </w:rPr>
        <w:t>restitutio</w:t>
      </w:r>
      <w:proofErr w:type="spellEnd"/>
      <w:r w:rsidRPr="00803A23">
        <w:rPr>
          <w:rFonts w:ascii="Palatino Linotype" w:hAnsi="Palatino Linotype" w:cs="Arial"/>
          <w:i/>
          <w:color w:val="000000" w:themeColor="text1"/>
          <w:sz w:val="24"/>
          <w:szCs w:val="24"/>
        </w:rPr>
        <w:t xml:space="preserve"> in </w:t>
      </w:r>
      <w:proofErr w:type="spellStart"/>
      <w:r w:rsidRPr="00803A23">
        <w:rPr>
          <w:rFonts w:ascii="Palatino Linotype" w:hAnsi="Palatino Linotype" w:cs="Arial"/>
          <w:i/>
          <w:color w:val="000000" w:themeColor="text1"/>
          <w:sz w:val="24"/>
          <w:szCs w:val="24"/>
        </w:rPr>
        <w:t>integrum</w:t>
      </w:r>
      <w:proofErr w:type="spellEnd"/>
      <w:r w:rsidRPr="00803A23">
        <w:rPr>
          <w:rFonts w:ascii="Palatino Linotype" w:hAnsi="Palatino Linotype" w:cs="Arial"/>
          <w:color w:val="000000" w:themeColor="text1"/>
          <w:sz w:val="24"/>
          <w:szCs w:val="24"/>
        </w:rPr>
        <w:t xml:space="preserve"> del derecho en cuestión. Lo que este Órgano Garante pretende hacer ordenando la entrega de la in</w:t>
      </w:r>
      <w:r w:rsidR="00C66870" w:rsidRPr="00803A23">
        <w:rPr>
          <w:rFonts w:ascii="Palatino Linotype" w:hAnsi="Palatino Linotype" w:cs="Arial"/>
          <w:color w:val="000000" w:themeColor="text1"/>
          <w:sz w:val="24"/>
          <w:szCs w:val="24"/>
        </w:rPr>
        <w:t>formación en copia certificada con costo.</w:t>
      </w:r>
    </w:p>
    <w:p w:rsidR="00AD71BB" w:rsidRPr="00803A23" w:rsidRDefault="00AD71BB" w:rsidP="00AD71BB">
      <w:pPr>
        <w:spacing w:after="0" w:line="360" w:lineRule="auto"/>
        <w:contextualSpacing/>
        <w:jc w:val="both"/>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lastRenderedPageBreak/>
        <w:t>Pero debo decir que el voto particular que me diferencia del resto del pleno consiste en los efectos de esa violación al derecho humano. Si bien es cierto que los derechos no son efectivos sin las garantías que permitan su pleno cumplimiento, también estoy convencido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Pr="00803A23">
        <w:rPr>
          <w:rFonts w:ascii="Palatino Linotype" w:hAnsi="Palatino Linotype" w:cs="Arial"/>
          <w:color w:val="000000" w:themeColor="text1"/>
          <w:sz w:val="24"/>
          <w:szCs w:val="24"/>
          <w:vertAlign w:val="superscript"/>
        </w:rPr>
        <w:footnoteReference w:id="10"/>
      </w:r>
      <w:r w:rsidRPr="00803A23">
        <w:rPr>
          <w:rFonts w:ascii="Palatino Linotype" w:hAnsi="Palatino Linotype" w:cs="Arial"/>
          <w:color w:val="000000" w:themeColor="text1"/>
          <w:sz w:val="24"/>
          <w:szCs w:val="24"/>
        </w:rPr>
        <w:t xml:space="preserve"> o lo que </w:t>
      </w:r>
      <w:proofErr w:type="spellStart"/>
      <w:r w:rsidRPr="00803A23">
        <w:rPr>
          <w:rFonts w:ascii="Palatino Linotype" w:hAnsi="Palatino Linotype" w:cs="Arial"/>
          <w:color w:val="000000" w:themeColor="text1"/>
          <w:sz w:val="24"/>
          <w:szCs w:val="24"/>
        </w:rPr>
        <w:t>Ferrajoli</w:t>
      </w:r>
      <w:proofErr w:type="spellEnd"/>
      <w:r w:rsidRPr="00803A23">
        <w:rPr>
          <w:rFonts w:ascii="Palatino Linotype" w:hAnsi="Palatino Linotype" w:cs="Arial"/>
          <w:color w:val="000000" w:themeColor="text1"/>
          <w:sz w:val="24"/>
          <w:szCs w:val="24"/>
        </w:rPr>
        <w:t xml:space="preserve"> señala como la </w:t>
      </w:r>
      <w:r w:rsidRPr="00803A23">
        <w:rPr>
          <w:rFonts w:ascii="Palatino Linotype" w:hAnsi="Palatino Linotype" w:cs="Arial"/>
          <w:i/>
          <w:color w:val="000000" w:themeColor="text1"/>
          <w:sz w:val="24"/>
          <w:szCs w:val="24"/>
        </w:rPr>
        <w:t>sanción por los actos ilícitos</w:t>
      </w:r>
      <w:r w:rsidRPr="00803A23">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Estoy convencido de que el legislador ordinario federal y estatal, previó esta circunstancia y por esa razón estableció dos consecuencias precisas para sancionar este tipo de violaciones o afectaciones al derecho de acceso a la información pública. La primera en la dimensión de las responsabilidades individuales de los servidores públicos, según consta en el artículo 222 fracción XII de la ley estatal de transparencia multicitada, que determina como causa de </w:t>
      </w:r>
      <w:r w:rsidRPr="00803A23">
        <w:rPr>
          <w:rFonts w:ascii="Palatino Linotype" w:hAnsi="Palatino Linotype" w:cs="Arial"/>
          <w:color w:val="000000" w:themeColor="text1"/>
          <w:sz w:val="24"/>
          <w:szCs w:val="24"/>
        </w:rPr>
        <w:lastRenderedPageBreak/>
        <w:t xml:space="preserve">responsabilidad administrativa de los servidores públicos de los sujetos obligados el declara con dolo o negligencia la inexistencia de la información, </w:t>
      </w:r>
      <w:r w:rsidRPr="00803A23">
        <w:rPr>
          <w:rFonts w:ascii="Palatino Linotype" w:hAnsi="Palatino Linotype" w:cs="Arial"/>
          <w:b/>
          <w:color w:val="000000" w:themeColor="text1"/>
          <w:sz w:val="24"/>
          <w:szCs w:val="24"/>
        </w:rPr>
        <w:t xml:space="preserve">sin la debida motivación y fundamentación. </w:t>
      </w: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En este caso es evidente que el pago que se pretende aplicar para la expedición de la información requerida por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b/>
          <w:color w:val="000000" w:themeColor="text1"/>
          <w:sz w:val="24"/>
          <w:szCs w:val="24"/>
        </w:rPr>
        <w:t xml:space="preserve">, no resulta aplicable </w:t>
      </w:r>
      <w:r w:rsidRPr="00803A23">
        <w:rPr>
          <w:rFonts w:ascii="Palatino Linotype" w:hAnsi="Palatino Linotype" w:cs="Arial"/>
          <w:color w:val="000000" w:themeColor="text1"/>
          <w:sz w:val="24"/>
          <w:szCs w:val="24"/>
        </w:rPr>
        <w:t>toda vez que no se</w:t>
      </w:r>
      <w:r w:rsidRPr="00803A23">
        <w:rPr>
          <w:rFonts w:ascii="Palatino Linotype" w:hAnsi="Palatino Linotype" w:cs="Arial"/>
          <w:b/>
          <w:color w:val="000000" w:themeColor="text1"/>
          <w:sz w:val="24"/>
          <w:szCs w:val="24"/>
        </w:rPr>
        <w:t xml:space="preserve"> </w:t>
      </w:r>
      <w:r w:rsidRPr="00803A23">
        <w:rPr>
          <w:rFonts w:ascii="Palatino Linotype" w:hAnsi="Palatino Linotype" w:cs="Arial"/>
          <w:color w:val="000000" w:themeColor="text1"/>
          <w:sz w:val="24"/>
          <w:szCs w:val="24"/>
        </w:rPr>
        <w:t xml:space="preserve">motiva y fundamenta de por qué se debe de realizar dicho cobro.   </w:t>
      </w: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BB7516">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 Me parece que 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w:t>
      </w: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DE7F76" w:rsidRPr="00803A23" w:rsidRDefault="00DE7F76"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Por lo que toda vez que se trata de una “máxima autoridad” de la que se espera el más alto estándar en la promoción y respeto de los derechos humanos y que </w:t>
      </w:r>
      <w:r w:rsidR="00C66870" w:rsidRPr="00803A23">
        <w:rPr>
          <w:rFonts w:ascii="Palatino Linotype" w:hAnsi="Palatino Linotype" w:cs="Arial"/>
          <w:color w:val="000000" w:themeColor="text1"/>
          <w:sz w:val="24"/>
          <w:szCs w:val="24"/>
          <w:lang w:val="es-ES"/>
        </w:rPr>
        <w:t>el hoy recurrente</w:t>
      </w:r>
      <w:r w:rsidRPr="00803A23">
        <w:rPr>
          <w:rFonts w:ascii="Palatino Linotype" w:hAnsi="Palatino Linotype" w:cs="Arial"/>
          <w:b/>
          <w:color w:val="000000" w:themeColor="text1"/>
          <w:sz w:val="24"/>
          <w:szCs w:val="24"/>
        </w:rPr>
        <w:t>,</w:t>
      </w:r>
      <w:r w:rsidRPr="00803A23">
        <w:rPr>
          <w:rFonts w:ascii="Palatino Linotype" w:hAnsi="Palatino Linotype" w:cs="Arial"/>
          <w:color w:val="000000" w:themeColor="text1"/>
          <w:sz w:val="24"/>
          <w:szCs w:val="24"/>
        </w:rPr>
        <w:t xml:space="preserve"> de manera clara, precisa, contundente e indubitable requirió información pública a la que pretende acceder en su modalidad de copia certificada y que la autoridad sin fundamentación ni motivación </w:t>
      </w:r>
      <w:r w:rsidR="00C66870" w:rsidRPr="00803A23">
        <w:rPr>
          <w:rFonts w:ascii="Palatino Linotype" w:hAnsi="Palatino Linotype" w:cs="Arial"/>
          <w:color w:val="000000" w:themeColor="text1"/>
          <w:sz w:val="24"/>
          <w:szCs w:val="24"/>
        </w:rPr>
        <w:t xml:space="preserve">entrego en </w:t>
      </w:r>
      <w:r w:rsidR="00C66870" w:rsidRPr="00803A23">
        <w:rPr>
          <w:rFonts w:ascii="Palatino Linotype" w:hAnsi="Palatino Linotype" w:cs="Arial"/>
          <w:color w:val="000000" w:themeColor="text1"/>
          <w:sz w:val="24"/>
          <w:szCs w:val="24"/>
        </w:rPr>
        <w:lastRenderedPageBreak/>
        <w:t>modalidad distinta e incompleta</w:t>
      </w:r>
      <w:r w:rsidRPr="00803A23">
        <w:rPr>
          <w:rFonts w:ascii="Palatino Linotype" w:hAnsi="Palatino Linotype" w:cs="Arial"/>
          <w:color w:val="000000" w:themeColor="text1"/>
          <w:sz w:val="24"/>
          <w:szCs w:val="24"/>
        </w:rPr>
        <w:t>, es que aprecio que existe una actitud negligente</w:t>
      </w:r>
      <w:r w:rsidRPr="00803A23">
        <w:rPr>
          <w:rFonts w:ascii="Palatino Linotype" w:hAnsi="Palatino Linotype" w:cs="Arial"/>
          <w:color w:val="000000" w:themeColor="text1"/>
          <w:sz w:val="24"/>
          <w:szCs w:val="24"/>
          <w:vertAlign w:val="superscript"/>
        </w:rPr>
        <w:footnoteReference w:id="11"/>
      </w:r>
      <w:r w:rsidRPr="00803A23">
        <w:rPr>
          <w:rFonts w:ascii="Palatino Linotype" w:hAnsi="Palatino Linotype" w:cs="Arial"/>
          <w:color w:val="000000" w:themeColor="text1"/>
          <w:sz w:val="24"/>
          <w:szCs w:val="24"/>
        </w:rPr>
        <w:t xml:space="preserve"> que provocó que la solicitud no fuera atendida en los términos de la ley, por lo que procedería el acceso a las copias certificadas sin que medie el pago de los derechos correspondientes. </w:t>
      </w:r>
    </w:p>
    <w:p w:rsidR="00C66870" w:rsidRPr="00803A23" w:rsidRDefault="00C66870" w:rsidP="00C66870">
      <w:pPr>
        <w:pStyle w:val="Prrafodelista"/>
        <w:rPr>
          <w:rFonts w:ascii="Palatino Linotype" w:hAnsi="Palatino Linotype" w:cs="Arial"/>
          <w:color w:val="000000" w:themeColor="text1"/>
          <w:sz w:val="24"/>
          <w:szCs w:val="24"/>
        </w:rPr>
      </w:pPr>
    </w:p>
    <w:p w:rsidR="00DE7F76" w:rsidRPr="00803A23" w:rsidRDefault="00DE7F76" w:rsidP="00C66870">
      <w:pPr>
        <w:pStyle w:val="Prrafodelista"/>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De esta manera, al perder el Sujeto Obligado la posibilidad de percibir los derechos por la expedición de las copias certificadas, como consecuencia de la actitud negligente de los servid</w:t>
      </w:r>
      <w:r w:rsidR="00701791" w:rsidRPr="00803A23">
        <w:rPr>
          <w:rFonts w:ascii="Palatino Linotype" w:hAnsi="Palatino Linotype" w:cs="Arial"/>
          <w:color w:val="000000" w:themeColor="text1"/>
          <w:sz w:val="24"/>
          <w:szCs w:val="24"/>
        </w:rPr>
        <w:t xml:space="preserve">ores públicos correspondientes. </w:t>
      </w:r>
      <w:r w:rsidRPr="00803A23">
        <w:rPr>
          <w:rFonts w:ascii="Palatino Linotype" w:hAnsi="Palatino Linotype" w:cs="Arial"/>
          <w:color w:val="000000" w:themeColor="text1"/>
          <w:sz w:val="24"/>
          <w:szCs w:val="24"/>
        </w:rPr>
        <w:t xml:space="preserve">En ese mismo sentido, al perder el Sujeto Obligado la posibilidad momentánea de acceder a los derechos por la expedición de las copias certificadas, lo anterior puede ser un incentivo adicional para que, en el futuro, las solicitudes de acceso a la información sean atendidas bajo el más alto estándar que promueva la plena protección del derecho en cuestión. </w:t>
      </w:r>
    </w:p>
    <w:p w:rsidR="00701791" w:rsidRPr="00803A23" w:rsidRDefault="00701791" w:rsidP="00701791">
      <w:pPr>
        <w:spacing w:after="0" w:line="360" w:lineRule="auto"/>
        <w:ind w:left="426"/>
        <w:contextualSpacing/>
        <w:jc w:val="both"/>
        <w:rPr>
          <w:rFonts w:ascii="Palatino Linotype" w:hAnsi="Palatino Linotype" w:cs="Arial"/>
          <w:color w:val="000000" w:themeColor="text1"/>
          <w:sz w:val="24"/>
          <w:szCs w:val="24"/>
        </w:rPr>
      </w:pPr>
    </w:p>
    <w:p w:rsidR="00DE7F76" w:rsidRPr="00803A23" w:rsidRDefault="00DE7F76" w:rsidP="00701791">
      <w:pPr>
        <w:spacing w:after="0" w:line="360" w:lineRule="auto"/>
        <w:ind w:left="426"/>
        <w:contextualSpacing/>
        <w:jc w:val="both"/>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hanging="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Pero al negarse el Pleno del Instituto a aplicar en estos términos el último artículo de la ley de transparencia y confiar en que se desahogue un procedimiento individualizado cuya culminación en términos temporales corre </w:t>
      </w:r>
      <w:r w:rsidRPr="00803A23">
        <w:rPr>
          <w:rFonts w:ascii="Palatino Linotype" w:hAnsi="Palatino Linotype" w:cs="Arial"/>
          <w:color w:val="000000" w:themeColor="text1"/>
          <w:sz w:val="24"/>
          <w:szCs w:val="24"/>
        </w:rPr>
        <w:lastRenderedPageBreak/>
        <w:t xml:space="preserve">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w:t>
      </w:r>
      <w:proofErr w:type="spellStart"/>
      <w:r w:rsidRPr="00803A23">
        <w:rPr>
          <w:rFonts w:ascii="Palatino Linotype" w:hAnsi="Palatino Linotype" w:cs="Arial"/>
          <w:color w:val="000000" w:themeColor="text1"/>
          <w:sz w:val="24"/>
          <w:szCs w:val="24"/>
        </w:rPr>
        <w:t>Ferrajoli</w:t>
      </w:r>
      <w:proofErr w:type="spellEnd"/>
      <w:r w:rsidRPr="00803A23">
        <w:rPr>
          <w:rFonts w:ascii="Palatino Linotype" w:hAnsi="Palatino Linotype" w:cs="Arial"/>
          <w:color w:val="000000" w:themeColor="text1"/>
          <w:sz w:val="24"/>
          <w:szCs w:val="24"/>
        </w:rPr>
        <w:t>;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803A23">
        <w:rPr>
          <w:rFonts w:ascii="Palatino Linotype" w:hAnsi="Palatino Linotype" w:cs="Arial"/>
          <w:color w:val="000000" w:themeColor="text1"/>
          <w:sz w:val="24"/>
          <w:szCs w:val="24"/>
          <w:vertAlign w:val="superscript"/>
        </w:rPr>
        <w:footnoteReference w:id="12"/>
      </w:r>
      <w:r w:rsidRPr="00803A23">
        <w:rPr>
          <w:rFonts w:ascii="Palatino Linotype" w:hAnsi="Palatino Linotype" w:cs="Arial"/>
          <w:color w:val="000000" w:themeColor="text1"/>
          <w:sz w:val="24"/>
          <w:szCs w:val="24"/>
        </w:rPr>
        <w:t xml:space="preserve"> </w:t>
      </w:r>
    </w:p>
    <w:p w:rsidR="00DE7F76" w:rsidRPr="00803A23" w:rsidRDefault="00DE7F76" w:rsidP="00DE7F76">
      <w:pPr>
        <w:spacing w:after="0" w:line="360" w:lineRule="auto"/>
        <w:ind w:left="426"/>
        <w:contextualSpacing/>
        <w:jc w:val="both"/>
        <w:rPr>
          <w:rFonts w:ascii="Palatino Linotype" w:hAnsi="Palatino Linotype" w:cs="Arial"/>
          <w:color w:val="000000" w:themeColor="text1"/>
          <w:sz w:val="24"/>
          <w:szCs w:val="24"/>
        </w:rPr>
      </w:pPr>
    </w:p>
    <w:p w:rsidR="00AD71BB" w:rsidRPr="00803A23" w:rsidRDefault="00AD71BB" w:rsidP="00AD71BB">
      <w:pPr>
        <w:spacing w:line="360" w:lineRule="auto"/>
        <w:ind w:left="720"/>
        <w:contextualSpacing/>
        <w:rPr>
          <w:rFonts w:ascii="Palatino Linotype" w:hAnsi="Palatino Linotype" w:cs="Arial"/>
          <w:color w:val="000000" w:themeColor="text1"/>
          <w:sz w:val="24"/>
          <w:szCs w:val="24"/>
        </w:rPr>
      </w:pPr>
    </w:p>
    <w:p w:rsidR="00AD71BB" w:rsidRPr="00803A23" w:rsidRDefault="00AD71BB" w:rsidP="00AD71BB">
      <w:pPr>
        <w:keepNext/>
        <w:keepLines/>
        <w:numPr>
          <w:ilvl w:val="0"/>
          <w:numId w:val="16"/>
        </w:numPr>
        <w:spacing w:before="40" w:after="0"/>
        <w:outlineLvl w:val="1"/>
        <w:rPr>
          <w:rFonts w:ascii="Palatino Linotype" w:eastAsiaTheme="majorEastAsia" w:hAnsi="Palatino Linotype" w:cs="Arial"/>
          <w:b/>
          <w:iCs/>
          <w:color w:val="000000" w:themeColor="text1"/>
          <w:sz w:val="24"/>
          <w:szCs w:val="24"/>
        </w:rPr>
      </w:pPr>
      <w:bookmarkStart w:id="7" w:name="_Toc525568968"/>
      <w:r w:rsidRPr="00803A23">
        <w:rPr>
          <w:rFonts w:ascii="Palatino Linotype" w:eastAsiaTheme="majorEastAsia" w:hAnsi="Palatino Linotype" w:cs="Arial"/>
          <w:b/>
          <w:iCs/>
          <w:color w:val="000000" w:themeColor="text1"/>
          <w:sz w:val="24"/>
          <w:szCs w:val="24"/>
        </w:rPr>
        <w:t>Conclusiones.</w:t>
      </w:r>
      <w:bookmarkEnd w:id="7"/>
      <w:r w:rsidRPr="00803A23">
        <w:rPr>
          <w:rFonts w:ascii="Palatino Linotype" w:eastAsiaTheme="majorEastAsia" w:hAnsi="Palatino Linotype" w:cs="Arial"/>
          <w:b/>
          <w:iCs/>
          <w:color w:val="000000" w:themeColor="text1"/>
          <w:sz w:val="24"/>
          <w:szCs w:val="24"/>
        </w:rPr>
        <w:t xml:space="preserve"> </w:t>
      </w:r>
    </w:p>
    <w:p w:rsidR="00AD71BB" w:rsidRPr="00803A23" w:rsidRDefault="00AD71BB" w:rsidP="00AD71BB">
      <w:pPr>
        <w:spacing w:line="360" w:lineRule="auto"/>
        <w:ind w:left="1080"/>
        <w:contextualSpacing/>
        <w:rPr>
          <w:rFonts w:ascii="Palatino Linotype" w:hAnsi="Palatino Linotype" w:cs="Arial"/>
          <w:color w:val="000000" w:themeColor="text1"/>
          <w:sz w:val="24"/>
          <w:szCs w:val="24"/>
        </w:rPr>
      </w:pPr>
    </w:p>
    <w:p w:rsidR="00AD71BB" w:rsidRPr="00803A23" w:rsidRDefault="00AD71BB" w:rsidP="00C76844">
      <w:pPr>
        <w:numPr>
          <w:ilvl w:val="0"/>
          <w:numId w:val="1"/>
        </w:numPr>
        <w:spacing w:after="0" w:line="360" w:lineRule="auto"/>
        <w:ind w:left="426"/>
        <w:contextualSpacing/>
        <w:jc w:val="both"/>
        <w:rPr>
          <w:rFonts w:ascii="Palatino Linotype" w:hAnsi="Palatino Linotype" w:cs="Arial"/>
          <w:color w:val="000000" w:themeColor="text1"/>
          <w:sz w:val="24"/>
          <w:szCs w:val="24"/>
        </w:rPr>
      </w:pPr>
      <w:r w:rsidRPr="00803A23">
        <w:rPr>
          <w:rFonts w:ascii="Palatino Linotype" w:hAnsi="Palatino Linotype" w:cs="Arial"/>
          <w:color w:val="000000" w:themeColor="text1"/>
          <w:sz w:val="24"/>
          <w:szCs w:val="24"/>
        </w:rPr>
        <w:t xml:space="preserve">Siendo el caso que la respuesta del </w:t>
      </w:r>
      <w:r w:rsidR="00180ABB" w:rsidRPr="00803A23">
        <w:rPr>
          <w:rFonts w:ascii="Palatino Linotype" w:hAnsi="Palatino Linotype" w:cs="Arial"/>
          <w:b/>
          <w:color w:val="000000" w:themeColor="text1"/>
          <w:sz w:val="24"/>
          <w:szCs w:val="24"/>
          <w:lang w:val="es-ES"/>
        </w:rPr>
        <w:t>Colegio de Educación Profesional Técnica</w:t>
      </w:r>
      <w:r w:rsidRPr="00803A23">
        <w:rPr>
          <w:rFonts w:ascii="Palatino Linotype" w:hAnsi="Palatino Linotype" w:cs="Arial"/>
          <w:color w:val="000000" w:themeColor="text1"/>
          <w:sz w:val="24"/>
          <w:szCs w:val="24"/>
        </w:rPr>
        <w:t xml:space="preserve"> violó el derecho de acceso a la información pública de </w:t>
      </w:r>
      <w:r w:rsidR="00977F84" w:rsidRPr="00977F84">
        <w:rPr>
          <w:rFonts w:ascii="Palatino Linotype" w:hAnsi="Palatino Linotype" w:cs="Arial"/>
          <w:b/>
          <w:color w:val="000000" w:themeColor="text1"/>
          <w:sz w:val="24"/>
          <w:szCs w:val="24"/>
          <w:highlight w:val="black"/>
          <w:lang w:val="es-ES"/>
        </w:rPr>
        <w:t>---------------------------</w:t>
      </w:r>
      <w:r w:rsidRPr="00803A23">
        <w:rPr>
          <w:rFonts w:ascii="Palatino Linotype" w:hAnsi="Palatino Linotype" w:cs="Arial"/>
          <w:color w:val="000000" w:themeColor="text1"/>
          <w:sz w:val="24"/>
          <w:szCs w:val="24"/>
        </w:rPr>
        <w:t xml:space="preserve">, al no proporcionarle las copias certificadas con costo de la información que requería, previo el pago de los derechos correspondientes, es procedente ordenarle la entrega de la información en la modalidad inicialmente requerida </w:t>
      </w:r>
      <w:r w:rsidRPr="00803A23">
        <w:rPr>
          <w:rFonts w:ascii="Palatino Linotype" w:hAnsi="Palatino Linotype" w:cs="Arial"/>
          <w:color w:val="000000" w:themeColor="text1"/>
          <w:sz w:val="24"/>
          <w:szCs w:val="24"/>
        </w:rPr>
        <w:lastRenderedPageBreak/>
        <w:t xml:space="preserve">pero es inaceptable que se requiera el pago de los derechos toda vez que se acredita una actuación negligente de la autoridad por lo que es a todas luces aplicable el artículo 234 de la Ley de Transparencia y Acceso a la Información Pública del Estado de México y Municipios. </w:t>
      </w:r>
    </w:p>
    <w:p w:rsidR="00AD71BB" w:rsidRPr="00803A23" w:rsidRDefault="00AD71BB" w:rsidP="00AD71BB">
      <w:pPr>
        <w:spacing w:line="360" w:lineRule="auto"/>
        <w:rPr>
          <w:rFonts w:ascii="Palatino Linotype" w:hAnsi="Palatino Linotype" w:cs="Arial"/>
          <w:color w:val="000000" w:themeColor="text1"/>
          <w:sz w:val="24"/>
          <w:szCs w:val="24"/>
        </w:rPr>
      </w:pPr>
    </w:p>
    <w:p w:rsidR="00AD71BB" w:rsidRPr="00803A23" w:rsidRDefault="00AD71BB" w:rsidP="00AD71BB">
      <w:pPr>
        <w:spacing w:line="360" w:lineRule="auto"/>
        <w:rPr>
          <w:rFonts w:ascii="Palatino Linotype" w:hAnsi="Palatino Linotype" w:cs="Arial"/>
          <w:color w:val="000000" w:themeColor="text1"/>
          <w:sz w:val="24"/>
          <w:szCs w:val="24"/>
        </w:rPr>
      </w:pPr>
    </w:p>
    <w:p w:rsidR="00AD71BB" w:rsidRPr="00803A23" w:rsidRDefault="00AD71BB" w:rsidP="00AD71BB">
      <w:pPr>
        <w:spacing w:line="360" w:lineRule="auto"/>
        <w:jc w:val="center"/>
        <w:rPr>
          <w:rFonts w:ascii="Palatino Linotype" w:eastAsia="Calibri" w:hAnsi="Palatino Linotype" w:cs="Arial"/>
          <w:b/>
          <w:color w:val="000000" w:themeColor="text1"/>
          <w:sz w:val="24"/>
          <w:szCs w:val="24"/>
        </w:rPr>
      </w:pPr>
      <w:r w:rsidRPr="00803A23">
        <w:rPr>
          <w:rFonts w:ascii="Palatino Linotype" w:eastAsia="Calibri" w:hAnsi="Palatino Linotype" w:cs="Arial"/>
          <w:b/>
          <w:color w:val="000000" w:themeColor="text1"/>
          <w:sz w:val="24"/>
          <w:szCs w:val="24"/>
        </w:rPr>
        <w:t>JOSÉ GUADALUPE LUNA HERNÁNDEZ</w:t>
      </w:r>
    </w:p>
    <w:p w:rsidR="00797A31" w:rsidRPr="00803A23" w:rsidRDefault="00AD71BB" w:rsidP="00701791">
      <w:pPr>
        <w:spacing w:line="360" w:lineRule="auto"/>
        <w:jc w:val="center"/>
        <w:rPr>
          <w:rFonts w:ascii="Palatino Linotype" w:eastAsia="Calibri" w:hAnsi="Palatino Linotype" w:cs="Arial"/>
          <w:b/>
          <w:color w:val="000000" w:themeColor="text1"/>
          <w:sz w:val="24"/>
          <w:szCs w:val="24"/>
        </w:rPr>
      </w:pPr>
      <w:r w:rsidRPr="00803A23">
        <w:rPr>
          <w:rFonts w:ascii="Palatino Linotype" w:eastAsia="Calibri" w:hAnsi="Palatino Linotype" w:cs="Arial"/>
          <w:b/>
          <w:color w:val="000000" w:themeColor="text1"/>
          <w:sz w:val="24"/>
          <w:szCs w:val="24"/>
        </w:rPr>
        <w:t>COMISIONADO</w:t>
      </w:r>
    </w:p>
    <w:p w:rsidR="00803A23" w:rsidRPr="00803A23" w:rsidRDefault="00803A23" w:rsidP="00701791">
      <w:pPr>
        <w:spacing w:line="360" w:lineRule="auto"/>
        <w:jc w:val="center"/>
        <w:rPr>
          <w:rFonts w:ascii="Palatino Linotype" w:eastAsia="Calibri" w:hAnsi="Palatino Linotype" w:cs="Arial"/>
          <w:b/>
          <w:color w:val="000000" w:themeColor="text1"/>
          <w:sz w:val="24"/>
          <w:szCs w:val="24"/>
        </w:rPr>
      </w:pPr>
      <w:r w:rsidRPr="00803A23">
        <w:rPr>
          <w:rFonts w:ascii="Palatino Linotype" w:eastAsia="Calibri" w:hAnsi="Palatino Linotype" w:cs="Arial"/>
          <w:b/>
          <w:color w:val="000000" w:themeColor="text1"/>
          <w:sz w:val="24"/>
          <w:szCs w:val="24"/>
        </w:rPr>
        <w:t>(Rúbrica)</w:t>
      </w:r>
    </w:p>
    <w:p w:rsidR="00803A23" w:rsidRPr="00803A23" w:rsidRDefault="00803A23" w:rsidP="00701791">
      <w:pPr>
        <w:spacing w:line="360" w:lineRule="auto"/>
        <w:jc w:val="center"/>
        <w:rPr>
          <w:rFonts w:ascii="Palatino Linotype" w:eastAsia="Calibri" w:hAnsi="Palatino Linotype" w:cs="Arial"/>
          <w:b/>
          <w:color w:val="000000" w:themeColor="text1"/>
          <w:sz w:val="24"/>
          <w:szCs w:val="24"/>
        </w:rPr>
      </w:pPr>
    </w:p>
    <w:p w:rsidR="00803A23" w:rsidRPr="00803A23" w:rsidRDefault="00803A23" w:rsidP="00701791">
      <w:pPr>
        <w:spacing w:line="360" w:lineRule="auto"/>
        <w:jc w:val="center"/>
        <w:rPr>
          <w:rFonts w:ascii="Palatino Linotype" w:eastAsia="Calibri" w:hAnsi="Palatino Linotype" w:cs="Arial"/>
          <w:b/>
          <w:color w:val="000000" w:themeColor="text1"/>
          <w:sz w:val="24"/>
          <w:szCs w:val="24"/>
        </w:rPr>
      </w:pPr>
    </w:p>
    <w:p w:rsidR="00803A23" w:rsidRPr="00C66870" w:rsidRDefault="00803A23" w:rsidP="00803A23">
      <w:pPr>
        <w:spacing w:line="360" w:lineRule="auto"/>
        <w:rPr>
          <w:rFonts w:ascii="Palatino Linotype" w:hAnsi="Palatino Linotype" w:cs="Arial"/>
          <w:b/>
          <w:color w:val="000000" w:themeColor="text1"/>
          <w:sz w:val="24"/>
          <w:szCs w:val="24"/>
        </w:rPr>
      </w:pPr>
      <w:r w:rsidRPr="00803A23">
        <w:rPr>
          <w:rFonts w:ascii="Palatino Linotype" w:eastAsia="Calibri" w:hAnsi="Palatino Linotype" w:cs="Arial"/>
          <w:b/>
          <w:color w:val="000000" w:themeColor="text1"/>
          <w:sz w:val="24"/>
          <w:szCs w:val="24"/>
        </w:rPr>
        <w:t>JGLH/MULR</w:t>
      </w:r>
    </w:p>
    <w:sectPr w:rsidR="00803A23" w:rsidRPr="00C66870"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6A" w:rsidRDefault="00361F6A" w:rsidP="00E82D3D">
      <w:pPr>
        <w:spacing w:after="0" w:line="240" w:lineRule="auto"/>
      </w:pPr>
      <w:r>
        <w:separator/>
      </w:r>
    </w:p>
  </w:endnote>
  <w:endnote w:type="continuationSeparator" w:id="0">
    <w:p w:rsidR="00361F6A" w:rsidRDefault="00361F6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DBB">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DBB">
              <w:rPr>
                <w:b/>
                <w:bCs/>
                <w:noProof/>
              </w:rPr>
              <w:t>16</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6A" w:rsidRDefault="00361F6A" w:rsidP="00E82D3D">
      <w:pPr>
        <w:spacing w:after="0" w:line="240" w:lineRule="auto"/>
      </w:pPr>
      <w:r>
        <w:separator/>
      </w:r>
    </w:p>
  </w:footnote>
  <w:footnote w:type="continuationSeparator" w:id="0">
    <w:p w:rsidR="00361F6A" w:rsidRDefault="00361F6A" w:rsidP="00E82D3D">
      <w:pPr>
        <w:spacing w:after="0" w:line="240" w:lineRule="auto"/>
      </w:pPr>
      <w:r>
        <w:continuationSeparator/>
      </w:r>
    </w:p>
  </w:footnote>
  <w:footnote w:id="1">
    <w:p w:rsidR="00AD71BB" w:rsidRPr="00DE7F76" w:rsidRDefault="00AD71BB" w:rsidP="00AD71BB">
      <w:pPr>
        <w:pStyle w:val="Textonotapie"/>
        <w:jc w:val="both"/>
        <w:rPr>
          <w:rFonts w:ascii="Palatino Linotype" w:hAnsi="Palatino Linotype" w:cs="Arial"/>
          <w:sz w:val="18"/>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DE7F76">
        <w:rPr>
          <w:rFonts w:ascii="Palatino Linotype" w:hAnsi="Palatino Linotype" w:cs="Arial"/>
          <w:i/>
          <w:sz w:val="18"/>
        </w:rPr>
        <w:t>Derechos y Garantías. La ley del más débil.</w:t>
      </w:r>
      <w:r w:rsidRPr="00DE7F76">
        <w:rPr>
          <w:rFonts w:ascii="Palatino Linotype" w:hAnsi="Palatino Linotype" w:cs="Arial"/>
          <w:sz w:val="18"/>
        </w:rPr>
        <w:t xml:space="preserve"> Séptima edición, Madrid. Editorial </w:t>
      </w:r>
      <w:proofErr w:type="spellStart"/>
      <w:r w:rsidRPr="00DE7F76">
        <w:rPr>
          <w:rFonts w:ascii="Palatino Linotype" w:hAnsi="Palatino Linotype" w:cs="Arial"/>
          <w:sz w:val="18"/>
        </w:rPr>
        <w:t>Trotta</w:t>
      </w:r>
      <w:proofErr w:type="spellEnd"/>
      <w:r w:rsidRPr="00DE7F76">
        <w:rPr>
          <w:rFonts w:ascii="Palatino Linotype" w:hAnsi="Palatino Linotype" w:cs="Arial"/>
          <w:sz w:val="18"/>
        </w:rPr>
        <w:t>, 2010. Pág. 24</w:t>
      </w:r>
    </w:p>
  </w:footnote>
  <w:footnote w:id="2">
    <w:p w:rsidR="00AD71BB" w:rsidRPr="00FA14E5" w:rsidRDefault="00AD71BB" w:rsidP="00AD71BB">
      <w:pPr>
        <w:pStyle w:val="Textonotapie"/>
        <w:jc w:val="both"/>
        <w:rPr>
          <w:rFonts w:ascii="Arial" w:hAnsi="Arial"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DE7F76">
        <w:rPr>
          <w:rFonts w:ascii="Palatino Linotype" w:hAnsi="Palatino Linotype" w:cs="Arial"/>
          <w:sz w:val="18"/>
        </w:rPr>
        <w:t>Alexy</w:t>
      </w:r>
      <w:proofErr w:type="spellEnd"/>
      <w:r w:rsidRPr="00DE7F76">
        <w:rPr>
          <w:rFonts w:ascii="Palatino Linotype" w:hAnsi="Palatino Linotype" w:cs="Arial"/>
          <w:sz w:val="18"/>
        </w:rPr>
        <w:t xml:space="preserve">, Robert. </w:t>
      </w:r>
      <w:r w:rsidRPr="00DE7F76">
        <w:rPr>
          <w:rFonts w:ascii="Palatino Linotype" w:hAnsi="Palatino Linotype" w:cs="Arial"/>
          <w:i/>
          <w:sz w:val="18"/>
        </w:rPr>
        <w:t>Teoría de los derechos fundamentales.</w:t>
      </w:r>
      <w:r w:rsidRPr="00DE7F76">
        <w:rPr>
          <w:rFonts w:ascii="Palatino Linotype" w:hAnsi="Palatino Linotype" w:cs="Arial"/>
          <w:sz w:val="18"/>
        </w:rPr>
        <w:t xml:space="preserve"> Segunda edición, Madrid, Ed, Centro de Estudios Políticos y Constitucionales. 2014. Pág. 68.</w:t>
      </w:r>
    </w:p>
  </w:footnote>
  <w:footnote w:id="3">
    <w:p w:rsidR="00AD71BB" w:rsidRPr="00DE7F76" w:rsidRDefault="00AD71BB" w:rsidP="00AD71BB">
      <w:pPr>
        <w:pStyle w:val="Textonotapie"/>
        <w:jc w:val="both"/>
        <w:rPr>
          <w:rFonts w:ascii="Palatino Linotype" w:hAnsi="Palatino Linotype" w:cs="Arial"/>
          <w:sz w:val="18"/>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FERRAJOLI, Luigi. </w:t>
      </w:r>
      <w:r w:rsidRPr="00DE7F76">
        <w:rPr>
          <w:rFonts w:ascii="Palatino Linotype" w:hAnsi="Palatino Linotype" w:cs="Arial"/>
          <w:i/>
          <w:sz w:val="18"/>
        </w:rPr>
        <w:t>La democracia a través de los derechos., El constitucionalismo garantista como modelo teórico y como proyecto político.</w:t>
      </w:r>
      <w:r w:rsidRPr="00DE7F76">
        <w:rPr>
          <w:rFonts w:ascii="Palatino Linotype" w:hAnsi="Palatino Linotype" w:cs="Arial"/>
          <w:sz w:val="18"/>
        </w:rPr>
        <w:t xml:space="preserve"> Madrid. Ed. </w:t>
      </w:r>
      <w:proofErr w:type="spellStart"/>
      <w:r w:rsidRPr="00DE7F76">
        <w:rPr>
          <w:rFonts w:ascii="Palatino Linotype" w:hAnsi="Palatino Linotype" w:cs="Arial"/>
          <w:sz w:val="18"/>
        </w:rPr>
        <w:t>Trotta</w:t>
      </w:r>
      <w:proofErr w:type="spellEnd"/>
      <w:r w:rsidRPr="00DE7F76">
        <w:rPr>
          <w:rFonts w:ascii="Palatino Linotype" w:hAnsi="Palatino Linotype" w:cs="Arial"/>
          <w:sz w:val="18"/>
        </w:rPr>
        <w:t>, 2014.Pág. 62.</w:t>
      </w:r>
    </w:p>
  </w:footnote>
  <w:footnote w:id="4">
    <w:p w:rsidR="00AD71BB" w:rsidRPr="00FA14E5" w:rsidRDefault="00AD71BB" w:rsidP="00AD71BB">
      <w:pPr>
        <w:pStyle w:val="Textonotapie"/>
        <w:jc w:val="both"/>
        <w:rPr>
          <w:rFonts w:ascii="Arial" w:hAnsi="Arial"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FERRAJOLI, Luigi. </w:t>
      </w:r>
      <w:r w:rsidRPr="00DE7F76">
        <w:rPr>
          <w:rFonts w:ascii="Palatino Linotype" w:hAnsi="Palatino Linotype" w:cs="Arial"/>
          <w:i/>
          <w:sz w:val="18"/>
        </w:rPr>
        <w:t>Poderes salvajes. La crisis de la democracia constitucional.</w:t>
      </w:r>
      <w:r w:rsidRPr="00DE7F76">
        <w:rPr>
          <w:rFonts w:ascii="Palatino Linotype" w:hAnsi="Palatino Linotype" w:cs="Arial"/>
          <w:sz w:val="18"/>
        </w:rPr>
        <w:t xml:space="preserve"> Segunda edición, Madrid. Ed. Mínima </w:t>
      </w:r>
      <w:proofErr w:type="spellStart"/>
      <w:r w:rsidRPr="00DE7F76">
        <w:rPr>
          <w:rFonts w:ascii="Palatino Linotype" w:hAnsi="Palatino Linotype" w:cs="Arial"/>
          <w:sz w:val="18"/>
        </w:rPr>
        <w:t>Trotta</w:t>
      </w:r>
      <w:proofErr w:type="spellEnd"/>
      <w:r w:rsidRPr="00DE7F76">
        <w:rPr>
          <w:rFonts w:ascii="Palatino Linotype" w:hAnsi="Palatino Linotype" w:cs="Arial"/>
          <w:sz w:val="18"/>
        </w:rPr>
        <w:t>. 2011. Pág. 40.</w:t>
      </w:r>
    </w:p>
  </w:footnote>
  <w:footnote w:id="5">
    <w:p w:rsidR="00AD71BB" w:rsidRPr="00DE7F76" w:rsidRDefault="00AD71BB" w:rsidP="00AD71BB">
      <w:pPr>
        <w:pStyle w:val="Textonotapie"/>
        <w:jc w:val="both"/>
        <w:rPr>
          <w:rFonts w:ascii="Palatino Linotype" w:hAnsi="Palatino Linotype"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Comisión Interamericana de Derechos Humanos. Relatoría Especial para la Libertad de Expresión. El derecho de acceso a la información pública en el marco jurídico interamericano. 2ª. Edición, OEA, 2012. Párr. 29.</w:t>
      </w:r>
    </w:p>
  </w:footnote>
  <w:footnote w:id="6">
    <w:p w:rsidR="00AD71BB" w:rsidRPr="00DE7F76" w:rsidRDefault="00AD71BB" w:rsidP="00AD71BB">
      <w:pPr>
        <w:pStyle w:val="Textonotapie"/>
        <w:jc w:val="both"/>
        <w:rPr>
          <w:rFonts w:ascii="Palatino Linotype" w:hAnsi="Palatino Linotype"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Corte Interamericana de Derechos Humanos. Caso Claude Reyes y otros contra Chile. Sentencia de 19 de septiembre de 2006. </w:t>
      </w:r>
      <w:proofErr w:type="spellStart"/>
      <w:r w:rsidRPr="00DE7F76">
        <w:rPr>
          <w:rFonts w:ascii="Palatino Linotype" w:hAnsi="Palatino Linotype" w:cs="Arial"/>
          <w:sz w:val="18"/>
        </w:rPr>
        <w:t>Párrfs</w:t>
      </w:r>
      <w:proofErr w:type="spellEnd"/>
      <w:r w:rsidRPr="00DE7F76">
        <w:rPr>
          <w:rFonts w:ascii="Palatino Linotype" w:hAnsi="Palatino Linotype" w:cs="Arial"/>
          <w:sz w:val="18"/>
        </w:rPr>
        <w:t>. 116-139.</w:t>
      </w:r>
    </w:p>
  </w:footnote>
  <w:footnote w:id="7">
    <w:p w:rsidR="00AD71BB" w:rsidRPr="00DE7F76" w:rsidRDefault="00AD71BB" w:rsidP="00AD71BB">
      <w:pPr>
        <w:pStyle w:val="Textonotapie"/>
        <w:jc w:val="both"/>
        <w:rPr>
          <w:rFonts w:ascii="Palatino Linotype" w:hAnsi="Palatino Linotype" w:cs="Arial"/>
          <w:sz w:val="18"/>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OPINIÓN PARTICULAR DEL COMISIONADO JOSÉ GUADALUPE LUNA HERNÁNDEZ EN EL RECURSO DE REVISIÓN 01750/INFOEM/IP/RR/2015 Y 01751/INFOEM/IP/RR/2015. Párr. 21.</w:t>
      </w:r>
    </w:p>
  </w:footnote>
  <w:footnote w:id="8">
    <w:p w:rsidR="00AD71BB" w:rsidRPr="00DE7F76" w:rsidRDefault="00AD71BB" w:rsidP="00AD71BB">
      <w:pPr>
        <w:pStyle w:val="Textonotapie"/>
        <w:jc w:val="both"/>
        <w:rPr>
          <w:rFonts w:ascii="Palatino Linotype" w:hAnsi="Palatino Linotype" w:cs="Arial"/>
          <w:sz w:val="18"/>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FERRAJOLI, Luigi. </w:t>
      </w:r>
      <w:r w:rsidRPr="00DE7F76">
        <w:rPr>
          <w:rFonts w:ascii="Palatino Linotype" w:hAnsi="Palatino Linotype" w:cs="Arial"/>
          <w:i/>
          <w:sz w:val="18"/>
        </w:rPr>
        <w:t xml:space="preserve">La demo…cit. </w:t>
      </w:r>
      <w:r w:rsidRPr="00DE7F76">
        <w:rPr>
          <w:rFonts w:ascii="Palatino Linotype" w:hAnsi="Palatino Linotype" w:cs="Arial"/>
          <w:sz w:val="18"/>
        </w:rPr>
        <w:t>Pág. 62.</w:t>
      </w:r>
    </w:p>
  </w:footnote>
  <w:footnote w:id="9">
    <w:p w:rsidR="00AD71BB" w:rsidRPr="00FA14E5" w:rsidRDefault="00AD71BB" w:rsidP="00AD71BB">
      <w:pPr>
        <w:pStyle w:val="Textonotapie"/>
        <w:jc w:val="both"/>
        <w:rPr>
          <w:rFonts w:ascii="Arial" w:hAnsi="Arial"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FERRAJOLI, Luigi. </w:t>
      </w:r>
      <w:r w:rsidRPr="00DE7F76">
        <w:rPr>
          <w:rFonts w:ascii="Palatino Linotype" w:hAnsi="Palatino Linotype" w:cs="Arial"/>
          <w:i/>
          <w:sz w:val="18"/>
        </w:rPr>
        <w:t xml:space="preserve">Pode… cit. </w:t>
      </w:r>
      <w:r w:rsidRPr="00DE7F76">
        <w:rPr>
          <w:rFonts w:ascii="Palatino Linotype" w:hAnsi="Palatino Linotype" w:cs="Arial"/>
          <w:sz w:val="18"/>
        </w:rPr>
        <w:t>Pág. 40.</w:t>
      </w:r>
    </w:p>
  </w:footnote>
  <w:footnote w:id="10">
    <w:p w:rsidR="00AD71BB" w:rsidRPr="00DE7F76" w:rsidRDefault="00AD71BB" w:rsidP="00AD71BB">
      <w:pPr>
        <w:pStyle w:val="Textonotapie"/>
        <w:jc w:val="both"/>
        <w:rPr>
          <w:rFonts w:ascii="Palatino Linotype" w:hAnsi="Palatino Linotype" w:cs="Arial"/>
        </w:rPr>
      </w:pPr>
      <w:r w:rsidRPr="00DE7F76">
        <w:rPr>
          <w:rStyle w:val="Refdenotaalpie"/>
          <w:rFonts w:ascii="Palatino Linotype" w:hAnsi="Palatino Linotype" w:cs="Arial"/>
          <w:sz w:val="18"/>
        </w:rPr>
        <w:footnoteRef/>
      </w:r>
      <w:r w:rsidRPr="00DE7F76">
        <w:rPr>
          <w:rFonts w:ascii="Palatino Linotype" w:hAnsi="Palatino Linotype" w:cs="Arial"/>
          <w:sz w:val="18"/>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w:t>
      </w:r>
      <w:proofErr w:type="spellStart"/>
      <w:r w:rsidRPr="00DE7F76">
        <w:rPr>
          <w:rFonts w:ascii="Palatino Linotype" w:hAnsi="Palatino Linotype" w:cs="Arial"/>
          <w:sz w:val="18"/>
        </w:rPr>
        <w:t>Oroza</w:t>
      </w:r>
      <w:proofErr w:type="spellEnd"/>
      <w:r w:rsidRPr="00DE7F76">
        <w:rPr>
          <w:rFonts w:ascii="Palatino Linotype" w:hAnsi="Palatino Linotype" w:cs="Arial"/>
          <w:sz w:val="18"/>
        </w:rPr>
        <w:t xml:space="preserve"> vs. Bolivia. Sentencia de 27 de febrero de 2002 (Reparaciones y Costas). Párr. 120.</w:t>
      </w:r>
    </w:p>
  </w:footnote>
  <w:footnote w:id="11">
    <w:p w:rsidR="00AD71BB" w:rsidRPr="00DE7F76" w:rsidRDefault="00AD71BB" w:rsidP="00AD71BB">
      <w:pPr>
        <w:spacing w:after="0" w:line="240" w:lineRule="auto"/>
        <w:jc w:val="both"/>
        <w:rPr>
          <w:rFonts w:ascii="Palatino Linotype" w:hAnsi="Palatino Linotype" w:cs="Arial"/>
          <w:sz w:val="20"/>
          <w:szCs w:val="20"/>
        </w:rPr>
      </w:pPr>
      <w:r w:rsidRPr="00DE7F76">
        <w:rPr>
          <w:rStyle w:val="Refdenotaalpie"/>
          <w:rFonts w:ascii="Palatino Linotype" w:hAnsi="Palatino Linotype" w:cs="Arial"/>
          <w:sz w:val="20"/>
          <w:szCs w:val="20"/>
        </w:rPr>
        <w:footnoteRef/>
      </w:r>
      <w:r w:rsidRPr="00DE7F76">
        <w:rPr>
          <w:rFonts w:ascii="Palatino Linotype" w:hAnsi="Palatino Linotype" w:cs="Arial"/>
          <w:sz w:val="20"/>
          <w:szCs w:val="20"/>
        </w:rPr>
        <w:t xml:space="preserve"> Entendiendo por negligente la más simple y llana definición contenida en el Diccionario de la Lengua Española: “Negligente. </w:t>
      </w:r>
      <w:r w:rsidRPr="00DE7F76">
        <w:rPr>
          <w:rFonts w:ascii="Palatino Linotype" w:eastAsia="Arial Unicode MS" w:hAnsi="Palatino Linotype" w:cs="Arial"/>
          <w:spacing w:val="4"/>
          <w:sz w:val="20"/>
          <w:szCs w:val="20"/>
        </w:rPr>
        <w:t>Del</w:t>
      </w:r>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lat.</w:t>
      </w:r>
      <w:r w:rsidRPr="00DE7F76">
        <w:rPr>
          <w:rStyle w:val="apple-converted-space"/>
          <w:rFonts w:ascii="Palatino Linotype" w:eastAsia="Arial Unicode MS" w:hAnsi="Palatino Linotype" w:cs="Arial"/>
          <w:spacing w:val="4"/>
          <w:sz w:val="20"/>
          <w:szCs w:val="20"/>
        </w:rPr>
        <w:t> </w:t>
      </w:r>
      <w:proofErr w:type="spellStart"/>
      <w:r w:rsidRPr="00DE7F76">
        <w:rPr>
          <w:rStyle w:val="nfasis"/>
          <w:rFonts w:ascii="Palatino Linotype" w:eastAsia="Arial Unicode MS" w:hAnsi="Palatino Linotype" w:cs="Arial"/>
          <w:spacing w:val="4"/>
          <w:sz w:val="20"/>
          <w:szCs w:val="20"/>
          <w:bdr w:val="none" w:sz="0" w:space="0" w:color="auto" w:frame="1"/>
        </w:rPr>
        <w:t>neglĭgens</w:t>
      </w:r>
      <w:proofErr w:type="spellEnd"/>
      <w:r w:rsidRPr="00DE7F76">
        <w:rPr>
          <w:rStyle w:val="nfasis"/>
          <w:rFonts w:ascii="Palatino Linotype" w:eastAsia="Arial Unicode MS" w:hAnsi="Palatino Linotype" w:cs="Arial"/>
          <w:spacing w:val="4"/>
          <w:sz w:val="20"/>
          <w:szCs w:val="20"/>
          <w:bdr w:val="none" w:sz="0" w:space="0" w:color="auto" w:frame="1"/>
        </w:rPr>
        <w:t>, -</w:t>
      </w:r>
      <w:proofErr w:type="spellStart"/>
      <w:r w:rsidRPr="00DE7F76">
        <w:rPr>
          <w:rStyle w:val="nfasis"/>
          <w:rFonts w:ascii="Palatino Linotype" w:eastAsia="Arial Unicode MS" w:hAnsi="Palatino Linotype" w:cs="Arial"/>
          <w:spacing w:val="4"/>
          <w:sz w:val="20"/>
          <w:szCs w:val="20"/>
          <w:bdr w:val="none" w:sz="0" w:space="0" w:color="auto" w:frame="1"/>
        </w:rPr>
        <w:t>entis</w:t>
      </w:r>
      <w:proofErr w:type="spellEnd"/>
      <w:r w:rsidRPr="00DE7F76">
        <w:rPr>
          <w:rStyle w:val="nfasis"/>
          <w:rFonts w:ascii="Palatino Linotype" w:eastAsia="Arial Unicode MS" w:hAnsi="Palatino Linotype" w:cs="Arial"/>
          <w:spacing w:val="4"/>
          <w:sz w:val="20"/>
          <w:szCs w:val="20"/>
          <w:bdr w:val="none" w:sz="0" w:space="0" w:color="auto" w:frame="1"/>
        </w:rPr>
        <w:t>,</w:t>
      </w:r>
      <w:r w:rsidRPr="00DE7F76">
        <w:rPr>
          <w:rStyle w:val="apple-converted-space"/>
          <w:rFonts w:ascii="Palatino Linotype" w:eastAsia="Arial Unicode MS" w:hAnsi="Palatino Linotype" w:cs="Arial"/>
          <w:spacing w:val="4"/>
          <w:sz w:val="20"/>
          <w:szCs w:val="20"/>
        </w:rPr>
        <w:t> </w:t>
      </w:r>
      <w:proofErr w:type="spellStart"/>
      <w:r w:rsidRPr="00DE7F76">
        <w:rPr>
          <w:rFonts w:ascii="Palatino Linotype" w:eastAsia="Arial Unicode MS" w:hAnsi="Palatino Linotype" w:cs="Arial"/>
          <w:spacing w:val="4"/>
          <w:sz w:val="20"/>
          <w:szCs w:val="20"/>
        </w:rPr>
        <w:t>part</w:t>
      </w:r>
      <w:proofErr w:type="spellEnd"/>
      <w:r w:rsidRPr="00DE7F76">
        <w:rPr>
          <w:rFonts w:ascii="Palatino Linotype" w:eastAsia="Arial Unicode MS" w:hAnsi="Palatino Linotype" w:cs="Arial"/>
          <w:spacing w:val="4"/>
          <w:sz w:val="20"/>
          <w:szCs w:val="20"/>
        </w:rPr>
        <w:t xml:space="preserve">. </w:t>
      </w:r>
      <w:proofErr w:type="spellStart"/>
      <w:r w:rsidRPr="00DE7F76">
        <w:rPr>
          <w:rFonts w:ascii="Palatino Linotype" w:eastAsia="Arial Unicode MS" w:hAnsi="Palatino Linotype" w:cs="Arial"/>
          <w:spacing w:val="4"/>
          <w:sz w:val="20"/>
          <w:szCs w:val="20"/>
        </w:rPr>
        <w:t>act</w:t>
      </w:r>
      <w:proofErr w:type="spellEnd"/>
      <w:r w:rsidRPr="00DE7F76">
        <w:rPr>
          <w:rFonts w:ascii="Palatino Linotype" w:eastAsia="Arial Unicode MS" w:hAnsi="Palatino Linotype" w:cs="Arial"/>
          <w:spacing w:val="4"/>
          <w:sz w:val="20"/>
          <w:szCs w:val="20"/>
        </w:rPr>
        <w:t>.</w:t>
      </w:r>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de</w:t>
      </w:r>
      <w:r w:rsidRPr="00DE7F76">
        <w:rPr>
          <w:rStyle w:val="apple-converted-space"/>
          <w:rFonts w:ascii="Palatino Linotype" w:eastAsia="Arial Unicode MS" w:hAnsi="Palatino Linotype" w:cs="Arial"/>
          <w:spacing w:val="4"/>
          <w:sz w:val="20"/>
          <w:szCs w:val="20"/>
        </w:rPr>
        <w:t> </w:t>
      </w:r>
      <w:proofErr w:type="spellStart"/>
      <w:r w:rsidRPr="00DE7F76">
        <w:rPr>
          <w:rStyle w:val="nfasis"/>
          <w:rFonts w:ascii="Palatino Linotype" w:eastAsia="Arial Unicode MS" w:hAnsi="Palatino Linotype" w:cs="Arial"/>
          <w:spacing w:val="4"/>
          <w:sz w:val="20"/>
          <w:szCs w:val="20"/>
          <w:bdr w:val="none" w:sz="0" w:space="0" w:color="auto" w:frame="1"/>
        </w:rPr>
        <w:t>negligĕre</w:t>
      </w:r>
      <w:proofErr w:type="spellEnd"/>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 xml:space="preserve">'descuidar'. </w:t>
      </w:r>
      <w:r w:rsidRPr="00DE7F76">
        <w:rPr>
          <w:rStyle w:val="nacep"/>
          <w:rFonts w:ascii="Palatino Linotype" w:eastAsia="Arial Unicode MS" w:hAnsi="Palatino Linotype" w:cs="Arial"/>
          <w:b/>
          <w:bCs/>
          <w:spacing w:val="4"/>
          <w:sz w:val="20"/>
          <w:szCs w:val="20"/>
          <w:bdr w:val="none" w:sz="0" w:space="0" w:color="auto" w:frame="1"/>
          <w:shd w:val="clear" w:color="auto" w:fill="FFFFFF"/>
        </w:rPr>
        <w:t>1.</w:t>
      </w:r>
      <w:r w:rsidRPr="00DE7F76">
        <w:rPr>
          <w:rStyle w:val="apple-converted-space"/>
          <w:rFonts w:ascii="Palatino Linotype" w:eastAsia="Arial Unicode MS" w:hAnsi="Palatino Linotype" w:cs="Arial"/>
          <w:b/>
          <w:bCs/>
          <w:spacing w:val="4"/>
          <w:sz w:val="20"/>
          <w:szCs w:val="20"/>
          <w:bdr w:val="none" w:sz="0" w:space="0" w:color="auto" w:frame="1"/>
          <w:shd w:val="clear" w:color="auto" w:fill="FFFFFF"/>
        </w:rPr>
        <w:t> </w:t>
      </w:r>
      <w:proofErr w:type="spellStart"/>
      <w:r w:rsidRPr="00DE7F76">
        <w:rPr>
          <w:rFonts w:ascii="Palatino Linotype" w:eastAsia="Arial Unicode MS" w:hAnsi="Palatino Linotype" w:cs="Arial"/>
          <w:spacing w:val="4"/>
          <w:sz w:val="20"/>
          <w:szCs w:val="20"/>
        </w:rPr>
        <w:t>adj</w:t>
      </w:r>
      <w:proofErr w:type="spellEnd"/>
      <w:r w:rsidRPr="00DE7F76">
        <w:rPr>
          <w:rFonts w:ascii="Palatino Linotype" w:eastAsia="Arial Unicode MS" w:hAnsi="Palatino Linotype" w:cs="Arial"/>
          <w:spacing w:val="4"/>
          <w:sz w:val="20"/>
          <w:szCs w:val="20"/>
        </w:rPr>
        <w:t>.</w:t>
      </w:r>
      <w:r w:rsidRPr="00DE7F76">
        <w:rPr>
          <w:rStyle w:val="apple-converted-space"/>
          <w:rFonts w:ascii="Palatino Linotype" w:eastAsia="Arial Unicode MS" w:hAnsi="Palatino Linotype" w:cs="Arial"/>
          <w:spacing w:val="4"/>
          <w:sz w:val="20"/>
          <w:szCs w:val="20"/>
        </w:rPr>
        <w:t> </w:t>
      </w:r>
      <w:hyperlink r:id="rId1" w:anchor="HDLT8M7" w:history="1">
        <w:r w:rsidRPr="00DE7F76">
          <w:rPr>
            <w:rStyle w:val="Hipervnculo"/>
            <w:rFonts w:ascii="Palatino Linotype" w:eastAsia="Arial Unicode MS" w:hAnsi="Palatino Linotype" w:cs="Arial"/>
            <w:b/>
            <w:bCs/>
            <w:spacing w:val="4"/>
            <w:sz w:val="20"/>
            <w:szCs w:val="20"/>
            <w:bdr w:val="none" w:sz="0" w:space="0" w:color="auto" w:frame="1"/>
            <w:shd w:val="clear" w:color="auto" w:fill="FFFFFF"/>
          </w:rPr>
          <w:t>descuidado.</w:t>
        </w:r>
      </w:hyperlink>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 xml:space="preserve">U. t. c. s. </w:t>
      </w:r>
      <w:r w:rsidRPr="00DE7F76">
        <w:rPr>
          <w:rStyle w:val="nacep"/>
          <w:rFonts w:ascii="Palatino Linotype" w:eastAsia="Arial Unicode MS" w:hAnsi="Palatino Linotype" w:cs="Arial"/>
          <w:b/>
          <w:bCs/>
          <w:spacing w:val="4"/>
          <w:sz w:val="20"/>
          <w:szCs w:val="20"/>
          <w:bdr w:val="none" w:sz="0" w:space="0" w:color="auto" w:frame="1"/>
          <w:shd w:val="clear" w:color="auto" w:fill="FFFFFF"/>
        </w:rPr>
        <w:t>2.</w:t>
      </w:r>
      <w:r w:rsidRPr="00DE7F76">
        <w:rPr>
          <w:rStyle w:val="apple-converted-space"/>
          <w:rFonts w:ascii="Palatino Linotype" w:eastAsia="Arial Unicode MS" w:hAnsi="Palatino Linotype" w:cs="Arial"/>
          <w:b/>
          <w:bCs/>
          <w:spacing w:val="4"/>
          <w:sz w:val="20"/>
          <w:szCs w:val="20"/>
          <w:bdr w:val="none" w:sz="0" w:space="0" w:color="auto" w:frame="1"/>
          <w:shd w:val="clear" w:color="auto" w:fill="FFFFFF"/>
        </w:rPr>
        <w:t> </w:t>
      </w:r>
      <w:proofErr w:type="spellStart"/>
      <w:r w:rsidRPr="00DE7F76">
        <w:rPr>
          <w:rFonts w:ascii="Palatino Linotype" w:eastAsia="Arial Unicode MS" w:hAnsi="Palatino Linotype" w:cs="Arial"/>
          <w:spacing w:val="4"/>
          <w:sz w:val="20"/>
          <w:szCs w:val="20"/>
        </w:rPr>
        <w:t>adj</w:t>
      </w:r>
      <w:proofErr w:type="spellEnd"/>
      <w:r w:rsidRPr="00DE7F76">
        <w:rPr>
          <w:rFonts w:ascii="Palatino Linotype" w:eastAsia="Arial Unicode MS" w:hAnsi="Palatino Linotype" w:cs="Arial"/>
          <w:spacing w:val="4"/>
          <w:sz w:val="20"/>
          <w:szCs w:val="20"/>
        </w:rPr>
        <w:t>.</w:t>
      </w:r>
      <w:r w:rsidRPr="00DE7F76">
        <w:rPr>
          <w:rStyle w:val="apple-converted-space"/>
          <w:rFonts w:ascii="Palatino Linotype" w:eastAsia="Arial Unicode MS" w:hAnsi="Palatino Linotype" w:cs="Arial"/>
          <w:spacing w:val="4"/>
          <w:sz w:val="20"/>
          <w:szCs w:val="20"/>
        </w:rPr>
        <w:t> </w:t>
      </w:r>
      <w:proofErr w:type="gramStart"/>
      <w:r w:rsidRPr="00DE7F76">
        <w:rPr>
          <w:rFonts w:ascii="Palatino Linotype" w:eastAsia="Arial Unicode MS" w:hAnsi="Palatino Linotype" w:cs="Arial"/>
          <w:spacing w:val="4"/>
          <w:sz w:val="20"/>
          <w:szCs w:val="20"/>
        </w:rPr>
        <w:t>Falto</w:t>
      </w:r>
      <w:proofErr w:type="gramEnd"/>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de</w:t>
      </w:r>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aplicación.</w:t>
      </w:r>
      <w:r w:rsidRPr="00DE7F76">
        <w:rPr>
          <w:rStyle w:val="apple-converted-space"/>
          <w:rFonts w:ascii="Palatino Linotype" w:eastAsia="Arial Unicode MS" w:hAnsi="Palatino Linotype" w:cs="Arial"/>
          <w:spacing w:val="4"/>
          <w:sz w:val="20"/>
          <w:szCs w:val="20"/>
        </w:rPr>
        <w:t> </w:t>
      </w:r>
      <w:r w:rsidRPr="00DE7F76">
        <w:rPr>
          <w:rFonts w:ascii="Palatino Linotype" w:eastAsia="Arial Unicode MS" w:hAnsi="Palatino Linotype" w:cs="Arial"/>
          <w:spacing w:val="4"/>
          <w:sz w:val="20"/>
          <w:szCs w:val="20"/>
        </w:rPr>
        <w:t xml:space="preserve">U. t. c. s.” consultado el 22 de agosto de 2016 en </w:t>
      </w:r>
      <w:hyperlink r:id="rId2" w:history="1">
        <w:r w:rsidRPr="00DE7F76">
          <w:rPr>
            <w:rStyle w:val="Hipervnculo"/>
            <w:rFonts w:ascii="Palatino Linotype" w:eastAsia="Arial Unicode MS" w:hAnsi="Palatino Linotype" w:cs="Arial"/>
            <w:spacing w:val="4"/>
            <w:sz w:val="20"/>
            <w:szCs w:val="20"/>
          </w:rPr>
          <w:t>http://dle.rae.es/?id=QMAWQ4m</w:t>
        </w:r>
      </w:hyperlink>
      <w:r w:rsidRPr="00DE7F76">
        <w:rPr>
          <w:rFonts w:ascii="Palatino Linotype" w:eastAsia="Arial Unicode MS" w:hAnsi="Palatino Linotype" w:cs="Arial"/>
          <w:spacing w:val="4"/>
          <w:sz w:val="20"/>
          <w:szCs w:val="20"/>
        </w:rPr>
        <w:t xml:space="preserve"> </w:t>
      </w:r>
    </w:p>
    <w:p w:rsidR="00AD71BB" w:rsidRPr="00FA14E5" w:rsidRDefault="00AD71BB" w:rsidP="00AD71BB">
      <w:pPr>
        <w:pStyle w:val="Textonotapie"/>
        <w:jc w:val="both"/>
        <w:rPr>
          <w:rFonts w:ascii="Arial" w:hAnsi="Arial" w:cs="Arial"/>
        </w:rPr>
      </w:pPr>
    </w:p>
  </w:footnote>
  <w:footnote w:id="12">
    <w:p w:rsidR="00AD71BB" w:rsidRPr="00DE7F76" w:rsidRDefault="00AD71BB" w:rsidP="00AD71BB">
      <w:pPr>
        <w:pStyle w:val="Textonotapie"/>
        <w:rPr>
          <w:rFonts w:ascii="Palatino Linotype" w:hAnsi="Palatino Linotype"/>
        </w:rPr>
      </w:pPr>
      <w:r w:rsidRPr="00DE7F76">
        <w:rPr>
          <w:rStyle w:val="Refdenotaalpie"/>
          <w:rFonts w:ascii="Palatino Linotype" w:hAnsi="Palatino Linotype"/>
        </w:rPr>
        <w:footnoteRef/>
      </w:r>
      <w:r w:rsidRPr="00DE7F76">
        <w:rPr>
          <w:rFonts w:ascii="Palatino Linotype" w:hAnsi="Palatino Linotype"/>
        </w:rP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401D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401D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401D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67DB"/>
    <w:multiLevelType w:val="hybridMultilevel"/>
    <w:tmpl w:val="30F0F3B4"/>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77E3AE2"/>
    <w:multiLevelType w:val="hybridMultilevel"/>
    <w:tmpl w:val="5ADE86AC"/>
    <w:lvl w:ilvl="0" w:tplc="F9C6DE2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574675EC"/>
    <w:lvl w:ilvl="0" w:tplc="7660BFDE">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9324E1"/>
    <w:multiLevelType w:val="hybridMultilevel"/>
    <w:tmpl w:val="A96E8864"/>
    <w:lvl w:ilvl="0" w:tplc="F3AE1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F4D54A8"/>
    <w:multiLevelType w:val="hybridMultilevel"/>
    <w:tmpl w:val="54C8F64C"/>
    <w:lvl w:ilvl="0" w:tplc="20BE97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10"/>
  </w:num>
  <w:num w:numId="6">
    <w:abstractNumId w:val="2"/>
  </w:num>
  <w:num w:numId="7">
    <w:abstractNumId w:val="15"/>
  </w:num>
  <w:num w:numId="8">
    <w:abstractNumId w:val="8"/>
  </w:num>
  <w:num w:numId="9">
    <w:abstractNumId w:val="13"/>
  </w:num>
  <w:num w:numId="10">
    <w:abstractNumId w:val="4"/>
  </w:num>
  <w:num w:numId="11">
    <w:abstractNumId w:val="12"/>
  </w:num>
  <w:num w:numId="12">
    <w:abstractNumId w:val="6"/>
  </w:num>
  <w:num w:numId="13">
    <w:abstractNumId w:val="1"/>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6CC2"/>
    <w:rsid w:val="000979E5"/>
    <w:rsid w:val="000D6ED7"/>
    <w:rsid w:val="00102360"/>
    <w:rsid w:val="001240A5"/>
    <w:rsid w:val="00150314"/>
    <w:rsid w:val="00180ABB"/>
    <w:rsid w:val="001B19B4"/>
    <w:rsid w:val="001F4FBA"/>
    <w:rsid w:val="002E3ED2"/>
    <w:rsid w:val="002F79FF"/>
    <w:rsid w:val="00321452"/>
    <w:rsid w:val="003258B6"/>
    <w:rsid w:val="00340E67"/>
    <w:rsid w:val="00361F6A"/>
    <w:rsid w:val="00384DBA"/>
    <w:rsid w:val="00401DBB"/>
    <w:rsid w:val="004022D0"/>
    <w:rsid w:val="00442ECA"/>
    <w:rsid w:val="0048628E"/>
    <w:rsid w:val="004C0D03"/>
    <w:rsid w:val="004E01B2"/>
    <w:rsid w:val="005556CA"/>
    <w:rsid w:val="005A6E09"/>
    <w:rsid w:val="005F30BC"/>
    <w:rsid w:val="00617ACF"/>
    <w:rsid w:val="0064684A"/>
    <w:rsid w:val="00656CAC"/>
    <w:rsid w:val="006B4CAE"/>
    <w:rsid w:val="006C6CF8"/>
    <w:rsid w:val="006D72CD"/>
    <w:rsid w:val="006F0A01"/>
    <w:rsid w:val="00701791"/>
    <w:rsid w:val="00785427"/>
    <w:rsid w:val="00787916"/>
    <w:rsid w:val="007901A3"/>
    <w:rsid w:val="00797A31"/>
    <w:rsid w:val="007D037D"/>
    <w:rsid w:val="007E0D13"/>
    <w:rsid w:val="00803A23"/>
    <w:rsid w:val="00807E40"/>
    <w:rsid w:val="008444E2"/>
    <w:rsid w:val="008D40E5"/>
    <w:rsid w:val="008E2027"/>
    <w:rsid w:val="008F6112"/>
    <w:rsid w:val="009473BD"/>
    <w:rsid w:val="00963AC0"/>
    <w:rsid w:val="009771BC"/>
    <w:rsid w:val="00977F84"/>
    <w:rsid w:val="00985FB2"/>
    <w:rsid w:val="009A1D06"/>
    <w:rsid w:val="009A2D39"/>
    <w:rsid w:val="009C7FF0"/>
    <w:rsid w:val="00AD71BB"/>
    <w:rsid w:val="00B866AF"/>
    <w:rsid w:val="00B9285A"/>
    <w:rsid w:val="00BB488C"/>
    <w:rsid w:val="00BC0D82"/>
    <w:rsid w:val="00C66870"/>
    <w:rsid w:val="00C753D8"/>
    <w:rsid w:val="00C76844"/>
    <w:rsid w:val="00C85F11"/>
    <w:rsid w:val="00CA2B8E"/>
    <w:rsid w:val="00CC7CC1"/>
    <w:rsid w:val="00CE6C1B"/>
    <w:rsid w:val="00CF0462"/>
    <w:rsid w:val="00D20AA3"/>
    <w:rsid w:val="00D448AF"/>
    <w:rsid w:val="00D45F2C"/>
    <w:rsid w:val="00DD14BB"/>
    <w:rsid w:val="00DE7A32"/>
    <w:rsid w:val="00DE7F76"/>
    <w:rsid w:val="00E11A00"/>
    <w:rsid w:val="00E82D3D"/>
    <w:rsid w:val="00E91B11"/>
    <w:rsid w:val="00E92F1B"/>
    <w:rsid w:val="00ED49AA"/>
    <w:rsid w:val="00F30EE8"/>
    <w:rsid w:val="00F82F68"/>
    <w:rsid w:val="00F96FBD"/>
    <w:rsid w:val="00FC4C24"/>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1B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character" w:customStyle="1" w:styleId="apple-converted-space">
    <w:name w:val="apple-converted-space"/>
    <w:basedOn w:val="Fuentedeprrafopredeter"/>
    <w:rsid w:val="00AD71BB"/>
  </w:style>
  <w:style w:type="character" w:styleId="nfasis">
    <w:name w:val="Emphasis"/>
    <w:basedOn w:val="Fuentedeprrafopredeter"/>
    <w:uiPriority w:val="20"/>
    <w:qFormat/>
    <w:rsid w:val="00AD71BB"/>
    <w:rPr>
      <w:i/>
      <w:iCs/>
    </w:rPr>
  </w:style>
  <w:style w:type="character" w:customStyle="1" w:styleId="nacep">
    <w:name w:val="n_acep"/>
    <w:basedOn w:val="Fuentedeprrafopredeter"/>
    <w:rsid w:val="00AD71BB"/>
  </w:style>
  <w:style w:type="paragraph" w:styleId="TDC2">
    <w:name w:val="toc 2"/>
    <w:basedOn w:val="Normal"/>
    <w:next w:val="Normal"/>
    <w:autoRedefine/>
    <w:uiPriority w:val="39"/>
    <w:unhideWhenUsed/>
    <w:rsid w:val="00C668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QMAWQ4m" TargetMode="External"/><Relationship Id="rId1" Type="http://schemas.openxmlformats.org/officeDocument/2006/relationships/hyperlink" Target="http://dle.rae.es/?id=Cmc6f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24F93-D27C-47D9-8549-1B808A88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2940</Words>
  <Characters>16171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2018-09-24T22:33:00Z</cp:lastPrinted>
  <dcterms:created xsi:type="dcterms:W3CDTF">2018-10-29T18:13:00Z</dcterms:created>
  <dcterms:modified xsi:type="dcterms:W3CDTF">2018-10-30T23:44:00Z</dcterms:modified>
</cp:coreProperties>
</file>